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9946" w14:textId="77777777" w:rsidR="00817342" w:rsidRDefault="0002090D" w:rsidP="004845D9">
      <w:pPr>
        <w:spacing w:after="80"/>
        <w:jc w:val="both"/>
      </w:pPr>
      <w:r>
        <w:rPr>
          <w:b/>
          <w:bCs/>
          <w:sz w:val="28"/>
          <w:szCs w:val="28"/>
        </w:rPr>
        <w:t>A Plain Language Guide for the Public and Regulated Parties</w:t>
      </w:r>
    </w:p>
    <w:p w14:paraId="35DD9947" w14:textId="77777777" w:rsidR="00817342" w:rsidRDefault="0002090D" w:rsidP="004845D9">
      <w:pPr>
        <w:spacing w:after="80"/>
        <w:jc w:val="both"/>
      </w:pPr>
      <w:r>
        <w:rPr>
          <w:b/>
          <w:bCs/>
          <w:i/>
          <w:iCs/>
          <w:sz w:val="26"/>
          <w:szCs w:val="26"/>
        </w:rPr>
        <w:t>Proposed Electric Utilities Regulation</w:t>
      </w:r>
    </w:p>
    <w:p w14:paraId="35DD9948" w14:textId="77777777" w:rsidR="00817342" w:rsidRDefault="0002090D" w:rsidP="004845D9">
      <w:pPr>
        <w:spacing w:after="200"/>
        <w:jc w:val="both"/>
      </w:pPr>
      <w:r>
        <w:rPr>
          <w:i/>
          <w:iCs/>
        </w:rPr>
        <w:t>City of Richmond Department of Public Utilities – Article VII Regulation</w:t>
      </w:r>
    </w:p>
    <w:p w14:paraId="35DD9949" w14:textId="77777777" w:rsidR="00817342" w:rsidRDefault="0002090D" w:rsidP="004845D9">
      <w:pPr>
        <w:spacing w:after="80"/>
        <w:jc w:val="both"/>
      </w:pPr>
      <w:r>
        <w:rPr>
          <w:b/>
          <w:bCs/>
          <w:sz w:val="24"/>
          <w:szCs w:val="24"/>
        </w:rPr>
        <w:t>What is this about?</w:t>
      </w:r>
    </w:p>
    <w:p w14:paraId="35DD994A" w14:textId="77777777" w:rsidR="00817342" w:rsidRDefault="0002090D" w:rsidP="004845D9">
      <w:pPr>
        <w:spacing w:after="100"/>
        <w:jc w:val="both"/>
      </w:pPr>
      <w:r>
        <w:t>The Richmond Department of Public Utilities (DPU) is proposing a new regulation that establishes clear, uniform rules for how DPU manages the City's electric utility program. This includes maintaining records of electric infrastructure, setting construction and maintenance safety standards, conducting inspections, resolving disputes over shared use of utility poles, issuing wireless facility permits, authorizing festival lighting connections on street lighting poles, and overseeing the delegation of day-to-day electric operations to the Department of Public Works (DPW).</w:t>
      </w:r>
    </w:p>
    <w:p w14:paraId="35DD994B" w14:textId="77777777" w:rsidR="00817342" w:rsidRDefault="0002090D" w:rsidP="004845D9">
      <w:pPr>
        <w:spacing w:after="100"/>
        <w:jc w:val="both"/>
      </w:pPr>
      <w:r>
        <w:t xml:space="preserve">This regulation primarily affects contractors who perform electrical work on City infrastructure, companies that attach equipment to City utility poles (pole </w:t>
      </w:r>
      <w:proofErr w:type="spellStart"/>
      <w:r>
        <w:t>attachers</w:t>
      </w:r>
      <w:proofErr w:type="spellEnd"/>
      <w:r>
        <w:t>), wireless service providers seeking to install antennas or other wireless equipment on City poles, and City departments involved in electric utility operations. Members of the public who are interested in how Richmond's electric and street lighting infrastructure is managed will also find this guide useful.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17342" w14:paraId="35DD994E" w14:textId="77777777">
        <w:tc>
          <w:tcPr>
            <w:tcW w:w="0" w:type="auto"/>
            <w:tcBorders>
              <w:top w:val="single" w:sz="6" w:space="0" w:color="1F3864"/>
              <w:left w:val="single" w:sz="6" w:space="0" w:color="1F3864"/>
              <w:bottom w:val="single" w:sz="6" w:space="0" w:color="1F3864"/>
              <w:right w:val="single" w:sz="6" w:space="0" w:color="1F3864"/>
            </w:tcBorders>
            <w:shd w:val="clear" w:color="auto" w:fill="DEEAF1"/>
            <w:tcMar>
              <w:top w:w="100" w:type="dxa"/>
              <w:left w:w="160" w:type="dxa"/>
              <w:bottom w:w="100" w:type="dxa"/>
              <w:right w:w="160" w:type="dxa"/>
            </w:tcMar>
          </w:tcPr>
          <w:p w14:paraId="35DD994D" w14:textId="77777777" w:rsidR="00817342" w:rsidRDefault="0002090D" w:rsidP="004845D9">
            <w:pPr>
              <w:jc w:val="both"/>
            </w:pPr>
            <w:r>
              <w:rPr>
                <w:b/>
                <w:bCs/>
              </w:rPr>
              <w:t xml:space="preserve">★  </w:t>
            </w:r>
            <w:r>
              <w:rPr>
                <w:i/>
                <w:iCs/>
              </w:rPr>
              <w:t>This plain language guide summarizes the proposed regulation. The complete text is available for review at the DPU Director's Office (730 E. Broad Street) and on the DPU website. You are welcome to comment before the regulation is finalized — see the contact information at the bottom of this guide.</w:t>
            </w:r>
          </w:p>
        </w:tc>
      </w:tr>
    </w:tbl>
    <w:p w14:paraId="35DD9950" w14:textId="77777777" w:rsidR="00817342" w:rsidRDefault="0002090D" w:rsidP="004845D9">
      <w:pPr>
        <w:shd w:val="clear" w:color="auto" w:fill="1F3864"/>
        <w:spacing w:before="280" w:after="80"/>
        <w:ind w:left="120"/>
        <w:jc w:val="both"/>
      </w:pPr>
      <w:r>
        <w:rPr>
          <w:b/>
          <w:bCs/>
          <w:color w:val="FFFFFF"/>
          <w:sz w:val="24"/>
          <w:szCs w:val="24"/>
        </w:rPr>
        <w:t>PART 1: Electric Facility Records and Documentation</w:t>
      </w:r>
    </w:p>
    <w:p w14:paraId="35DD9951" w14:textId="77777777" w:rsidR="00817342" w:rsidRDefault="0002090D" w:rsidP="004845D9">
      <w:pPr>
        <w:spacing w:before="160" w:after="60"/>
        <w:jc w:val="both"/>
      </w:pPr>
      <w:r>
        <w:rPr>
          <w:b/>
          <w:bCs/>
        </w:rPr>
        <w:t>1.  What records does DPU keep about its electric infrastructure?</w:t>
      </w:r>
    </w:p>
    <w:p w14:paraId="35DD9952" w14:textId="77777777" w:rsidR="00817342" w:rsidRDefault="0002090D" w:rsidP="004845D9">
      <w:pPr>
        <w:spacing w:after="100"/>
        <w:jc w:val="both"/>
      </w:pPr>
      <w:r>
        <w:t>DPU is required by City Code to maintain suitable records of all electric wiring, poles, streetlights, and other facilities owned, rented, maintained, or used by the electric utility. The regulation formalizes this obligation by requiring a comprehensive infrastructure inventory, including:</w:t>
      </w:r>
    </w:p>
    <w:p w14:paraId="35DD9953" w14:textId="77777777" w:rsidR="00817342" w:rsidRDefault="0002090D" w:rsidP="004845D9">
      <w:pPr>
        <w:pStyle w:val="ListParagraph"/>
        <w:numPr>
          <w:ilvl w:val="0"/>
          <w:numId w:val="2"/>
        </w:numPr>
        <w:spacing w:after="60"/>
        <w:jc w:val="both"/>
      </w:pPr>
      <w:r>
        <w:t>A complete pole inventory with GPS location coordinates</w:t>
      </w:r>
    </w:p>
    <w:p w14:paraId="35DD9954" w14:textId="77777777" w:rsidR="00817342" w:rsidRDefault="0002090D" w:rsidP="004845D9">
      <w:pPr>
        <w:pStyle w:val="ListParagraph"/>
        <w:numPr>
          <w:ilvl w:val="0"/>
          <w:numId w:val="2"/>
        </w:numPr>
        <w:spacing w:after="60"/>
        <w:jc w:val="both"/>
      </w:pPr>
      <w:r>
        <w:t>Pole specifications such as height, class, and installation date</w:t>
      </w:r>
    </w:p>
    <w:p w14:paraId="35DD9955" w14:textId="77777777" w:rsidR="00817342" w:rsidRDefault="0002090D" w:rsidP="004845D9">
      <w:pPr>
        <w:pStyle w:val="ListParagraph"/>
        <w:numPr>
          <w:ilvl w:val="0"/>
          <w:numId w:val="2"/>
        </w:numPr>
        <w:spacing w:after="60"/>
        <w:jc w:val="both"/>
      </w:pPr>
      <w:r>
        <w:t>Attachment records identifying all users, equipment types, installation dates, and compliance status</w:t>
      </w:r>
    </w:p>
    <w:p w14:paraId="35DD9956" w14:textId="77777777" w:rsidR="00817342" w:rsidRDefault="0002090D" w:rsidP="004845D9">
      <w:pPr>
        <w:pStyle w:val="ListParagraph"/>
        <w:numPr>
          <w:ilvl w:val="0"/>
          <w:numId w:val="2"/>
        </w:numPr>
        <w:spacing w:after="60"/>
        <w:jc w:val="both"/>
      </w:pPr>
      <w:r>
        <w:t>Inspection histories and maintenance schedules</w:t>
      </w:r>
    </w:p>
    <w:p w14:paraId="35DD9957" w14:textId="77777777" w:rsidR="00817342" w:rsidRDefault="0002090D" w:rsidP="004845D9">
      <w:pPr>
        <w:pStyle w:val="ListParagraph"/>
        <w:numPr>
          <w:ilvl w:val="0"/>
          <w:numId w:val="2"/>
        </w:numPr>
        <w:spacing w:after="60"/>
        <w:jc w:val="both"/>
      </w:pPr>
      <w:r>
        <w:t>Real-time GIS integration with a unified asset management system</w:t>
      </w:r>
    </w:p>
    <w:p w14:paraId="35DD9958" w14:textId="77777777" w:rsidR="00817342" w:rsidRDefault="0002090D" w:rsidP="004845D9">
      <w:pPr>
        <w:spacing w:after="100"/>
        <w:jc w:val="both"/>
      </w:pPr>
      <w:r>
        <w:t>Records are retained in accordance with Library of Virginia schedules applicable to public utility infrastructure.</w:t>
      </w:r>
    </w:p>
    <w:p w14:paraId="35DD9959" w14:textId="77777777" w:rsidR="00817342" w:rsidRDefault="0002090D" w:rsidP="004845D9">
      <w:pPr>
        <w:spacing w:before="160" w:after="60"/>
        <w:jc w:val="both"/>
      </w:pPr>
      <w:r>
        <w:rPr>
          <w:b/>
          <w:bCs/>
        </w:rPr>
        <w:t>2.  What information must companies or individuals attaching equipment to City poles provide?</w:t>
      </w:r>
    </w:p>
    <w:p w14:paraId="35DD995A" w14:textId="77777777" w:rsidR="00817342" w:rsidRDefault="0002090D" w:rsidP="004845D9">
      <w:pPr>
        <w:spacing w:after="100"/>
        <w:jc w:val="both"/>
      </w:pPr>
      <w:r>
        <w:t>Anyone who attaches equipment to City utility poles must maintain current documentation on file with DPU, including:</w:t>
      </w:r>
    </w:p>
    <w:p w14:paraId="35DD995B" w14:textId="77777777" w:rsidR="00817342" w:rsidRDefault="0002090D" w:rsidP="004845D9">
      <w:pPr>
        <w:pStyle w:val="ListParagraph"/>
        <w:numPr>
          <w:ilvl w:val="0"/>
          <w:numId w:val="2"/>
        </w:numPr>
        <w:spacing w:after="60"/>
        <w:jc w:val="both"/>
      </w:pPr>
      <w:r>
        <w:t>A signed attachment agreement with up-to-date contact and emergency notification information</w:t>
      </w:r>
    </w:p>
    <w:p w14:paraId="35DD995C" w14:textId="77777777" w:rsidR="00817342" w:rsidRDefault="0002090D" w:rsidP="004845D9">
      <w:pPr>
        <w:pStyle w:val="ListParagraph"/>
        <w:numPr>
          <w:ilvl w:val="0"/>
          <w:numId w:val="2"/>
        </w:numPr>
        <w:spacing w:after="60"/>
        <w:jc w:val="both"/>
      </w:pPr>
      <w:r>
        <w:t>Technical specifications for all attached equipment, meeting NESC 2023 standards</w:t>
      </w:r>
    </w:p>
    <w:p w14:paraId="35DD995D" w14:textId="77777777" w:rsidR="00817342" w:rsidRDefault="0002090D" w:rsidP="004845D9">
      <w:pPr>
        <w:pStyle w:val="ListParagraph"/>
        <w:numPr>
          <w:ilvl w:val="0"/>
          <w:numId w:val="2"/>
        </w:numPr>
        <w:spacing w:after="60"/>
        <w:jc w:val="both"/>
      </w:pPr>
      <w:r>
        <w:t>Proof of insurance meeting City requirements (minimum $3,000,000 per occurrence; $5,000,000 aggregate), with the City named as an additional insured</w:t>
      </w:r>
    </w:p>
    <w:p w14:paraId="35DD995E" w14:textId="77777777" w:rsidR="00817342" w:rsidRDefault="0002090D" w:rsidP="004845D9">
      <w:pPr>
        <w:pStyle w:val="ListParagraph"/>
        <w:numPr>
          <w:ilvl w:val="0"/>
          <w:numId w:val="2"/>
        </w:numPr>
        <w:spacing w:after="60"/>
        <w:jc w:val="both"/>
      </w:pPr>
      <w:r>
        <w:t>Qualified contractor certification records</w:t>
      </w:r>
    </w:p>
    <w:p w14:paraId="35DD995F" w14:textId="77777777" w:rsidR="00817342" w:rsidRDefault="0002090D" w:rsidP="004845D9">
      <w:pPr>
        <w:pStyle w:val="ListParagraph"/>
        <w:numPr>
          <w:ilvl w:val="0"/>
          <w:numId w:val="2"/>
        </w:numPr>
        <w:spacing w:after="60"/>
        <w:jc w:val="both"/>
      </w:pPr>
      <w:r>
        <w:t>As-built drawings for modifications or new installations showing NESC clearance compliance</w:t>
      </w:r>
    </w:p>
    <w:p w14:paraId="35DD9960" w14:textId="77777777" w:rsidR="00817342" w:rsidRDefault="0002090D" w:rsidP="004845D9">
      <w:pPr>
        <w:spacing w:before="160" w:after="60"/>
        <w:jc w:val="both"/>
      </w:pPr>
      <w:r>
        <w:rPr>
          <w:b/>
          <w:bCs/>
        </w:rPr>
        <w:lastRenderedPageBreak/>
        <w:t>3.  Can I access DPU's infrastructure records?</w:t>
      </w:r>
    </w:p>
    <w:p w14:paraId="35DD9961" w14:textId="77777777" w:rsidR="00817342" w:rsidRDefault="0002090D" w:rsidP="004845D9">
      <w:pPr>
        <w:spacing w:after="100"/>
        <w:jc w:val="both"/>
      </w:pPr>
      <w:r>
        <w:t xml:space="preserve">Authorized users — including approved pole </w:t>
      </w:r>
      <w:proofErr w:type="spellStart"/>
      <w:r>
        <w:t>attachers</w:t>
      </w:r>
      <w:proofErr w:type="spellEnd"/>
      <w:r>
        <w:t>, permit holders, and City departments — will have 24/7 online access to relevant records through a role-based portal. General public records requests are processed under the Virginia Freedom of Information Act. Some infrastructure records are exempt from disclosure under the critical infrastructure exemption.</w:t>
      </w:r>
    </w:p>
    <w:p w14:paraId="35DD9963" w14:textId="77777777" w:rsidR="00817342" w:rsidRDefault="0002090D" w:rsidP="004845D9">
      <w:pPr>
        <w:shd w:val="clear" w:color="auto" w:fill="1F3864"/>
        <w:spacing w:before="280" w:after="80"/>
        <w:ind w:left="120"/>
        <w:jc w:val="both"/>
      </w:pPr>
      <w:r>
        <w:rPr>
          <w:b/>
          <w:bCs/>
          <w:color w:val="FFFFFF"/>
          <w:sz w:val="24"/>
          <w:szCs w:val="24"/>
        </w:rPr>
        <w:t>PART 2: Construction and Maintenance Standards</w:t>
      </w:r>
    </w:p>
    <w:p w14:paraId="35DD9964" w14:textId="77777777" w:rsidR="00817342" w:rsidRDefault="0002090D" w:rsidP="004845D9">
      <w:pPr>
        <w:spacing w:before="160" w:after="60"/>
        <w:jc w:val="both"/>
      </w:pPr>
      <w:r>
        <w:rPr>
          <w:b/>
          <w:bCs/>
        </w:rPr>
        <w:t>4.  What safety standards govern electrical construction work on City infrastructure?</w:t>
      </w:r>
    </w:p>
    <w:p w14:paraId="35DD9965" w14:textId="77777777" w:rsidR="00817342" w:rsidRDefault="0002090D" w:rsidP="004845D9">
      <w:pPr>
        <w:spacing w:after="100"/>
        <w:jc w:val="both"/>
      </w:pPr>
      <w:r>
        <w:t>All electrical construction and maintenance activities involving City electric utility infrastructure must comply with the National Electric Safety Code (NESC 2023) and the National Electrical Code (NEC 2023). These are the nationally recognized standards for safe installation and maintenance of overhead and underground electric supply and communication lines.</w:t>
      </w:r>
    </w:p>
    <w:p w14:paraId="35DD9966" w14:textId="77777777" w:rsidR="00817342" w:rsidRDefault="0002090D" w:rsidP="004845D9">
      <w:pPr>
        <w:spacing w:after="100"/>
        <w:jc w:val="both"/>
      </w:pPr>
      <w:r>
        <w:t>The Director prioritizes construction and maintenance projects based on immediate safety hazards, system reliability needs, regulatory deadlines, infrastructure age and condition, economic development benefit, and environmental and historic preservation requirements.</w:t>
      </w:r>
    </w:p>
    <w:p w14:paraId="35DD9967" w14:textId="77777777" w:rsidR="00817342" w:rsidRDefault="0002090D" w:rsidP="004845D9">
      <w:pPr>
        <w:spacing w:before="160" w:after="60"/>
        <w:jc w:val="both"/>
      </w:pPr>
      <w:r>
        <w:rPr>
          <w:b/>
          <w:bCs/>
        </w:rPr>
        <w:t>5.  Who is qualified to perform electrical work on City facilities?</w:t>
      </w:r>
    </w:p>
    <w:p w14:paraId="35DD9968" w14:textId="77777777" w:rsidR="00817342" w:rsidRDefault="0002090D" w:rsidP="004845D9">
      <w:pPr>
        <w:spacing w:after="100"/>
        <w:jc w:val="both"/>
      </w:pPr>
      <w:r>
        <w:t>Contractors performing work on City electric utility infrastructure must hold a Virginia Class A contractor license (or appropriate specialty license) and meet the following qualifications:</w:t>
      </w:r>
    </w:p>
    <w:p w14:paraId="35DD9969" w14:textId="77777777" w:rsidR="00817342" w:rsidRDefault="0002090D" w:rsidP="004845D9">
      <w:pPr>
        <w:pStyle w:val="ListParagraph"/>
        <w:numPr>
          <w:ilvl w:val="0"/>
          <w:numId w:val="2"/>
        </w:numPr>
        <w:spacing w:after="60"/>
        <w:jc w:val="both"/>
      </w:pPr>
      <w:r>
        <w:t>Journeyman lineman: four-year apprenticeship or at least four years (8,000 hours) of documented practical experience</w:t>
      </w:r>
    </w:p>
    <w:p w14:paraId="35DD996A" w14:textId="77777777" w:rsidR="00817342" w:rsidRDefault="0002090D" w:rsidP="004845D9">
      <w:pPr>
        <w:pStyle w:val="ListParagraph"/>
        <w:numPr>
          <w:ilvl w:val="0"/>
          <w:numId w:val="2"/>
        </w:numPr>
        <w:spacing w:after="60"/>
        <w:jc w:val="both"/>
      </w:pPr>
      <w:r>
        <w:t>Journeyman electrician: minimum four years or 8,000 hours of on-the-job training with state NEC-based examination certification</w:t>
      </w:r>
    </w:p>
    <w:p w14:paraId="35DD996B" w14:textId="77777777" w:rsidR="00817342" w:rsidRDefault="0002090D" w:rsidP="004845D9">
      <w:pPr>
        <w:pStyle w:val="ListParagraph"/>
        <w:numPr>
          <w:ilvl w:val="0"/>
          <w:numId w:val="2"/>
        </w:numPr>
        <w:spacing w:after="60"/>
        <w:jc w:val="both"/>
      </w:pPr>
      <w:r>
        <w:t>Master electrician supervision: 12,000+ hours of experience required</w:t>
      </w:r>
    </w:p>
    <w:p w14:paraId="35DD996C" w14:textId="77777777" w:rsidR="00817342" w:rsidRDefault="0002090D" w:rsidP="004845D9">
      <w:pPr>
        <w:pStyle w:val="ListParagraph"/>
        <w:numPr>
          <w:ilvl w:val="0"/>
          <w:numId w:val="2"/>
        </w:numPr>
        <w:spacing w:after="60"/>
        <w:jc w:val="both"/>
      </w:pPr>
      <w:r>
        <w:t>All personnel: current NFPA 70E 2024 Electrical Safety certification</w:t>
      </w:r>
    </w:p>
    <w:p w14:paraId="35DD996D" w14:textId="77777777" w:rsidR="00817342" w:rsidRDefault="0002090D" w:rsidP="004845D9">
      <w:pPr>
        <w:pStyle w:val="ListParagraph"/>
        <w:numPr>
          <w:ilvl w:val="0"/>
          <w:numId w:val="2"/>
        </w:numPr>
        <w:spacing w:after="60"/>
        <w:jc w:val="both"/>
      </w:pPr>
      <w:r>
        <w:t>Workers' compensation and general liability insurance ($1 million per occurrence / $2 million aggregate minimum) with current certificates</w:t>
      </w:r>
    </w:p>
    <w:p w14:paraId="35DD996E" w14:textId="77777777" w:rsidR="00817342" w:rsidRDefault="0002090D" w:rsidP="004845D9">
      <w:pPr>
        <w:spacing w:after="100"/>
        <w:jc w:val="both"/>
      </w:pPr>
      <w:r>
        <w:t>Contractors must submit plans, qualifications, and a cost deposit for Director approval before work begins.</w:t>
      </w:r>
    </w:p>
    <w:p w14:paraId="35DD996F" w14:textId="77777777" w:rsidR="00817342" w:rsidRDefault="0002090D" w:rsidP="004845D9">
      <w:pPr>
        <w:spacing w:before="160" w:after="60"/>
        <w:jc w:val="both"/>
      </w:pPr>
      <w:r>
        <w:rPr>
          <w:b/>
          <w:bCs/>
        </w:rPr>
        <w:t>6.  What NFPA 70E electrical safety training is required?</w:t>
      </w:r>
    </w:p>
    <w:p w14:paraId="35DD9970" w14:textId="77777777" w:rsidR="00817342" w:rsidRDefault="0002090D" w:rsidP="004845D9">
      <w:pPr>
        <w:spacing w:after="100"/>
        <w:jc w:val="both"/>
      </w:pPr>
      <w:r>
        <w:t xml:space="preserve">All qualified </w:t>
      </w:r>
      <w:proofErr w:type="gramStart"/>
      <w:r>
        <w:t>persons</w:t>
      </w:r>
      <w:proofErr w:type="gramEnd"/>
      <w:r>
        <w:t xml:space="preserve"> working on </w:t>
      </w:r>
      <w:proofErr w:type="gramStart"/>
      <w:r>
        <w:t>or</w:t>
      </w:r>
      <w:proofErr w:type="gramEnd"/>
      <w:r>
        <w:t xml:space="preserve"> near City electrical equipment must hold current NFPA 70E 2024 certification. Certifications are valid for three years, with annual refresher training required. Enhanced safety requirements apply for any work within the limited approach boundary of exposed energized parts (50 volts or above), including arc flash hazard analysis, personal protective equipment requirements, and emergency rescue training.</w:t>
      </w:r>
    </w:p>
    <w:p w14:paraId="35DD9971" w14:textId="77777777" w:rsidR="00817342" w:rsidRDefault="0002090D" w:rsidP="004845D9">
      <w:pPr>
        <w:spacing w:before="160" w:after="60"/>
        <w:jc w:val="both"/>
      </w:pPr>
      <w:r>
        <w:rPr>
          <w:b/>
          <w:bCs/>
        </w:rPr>
        <w:t>7.  Can DPU act quickly during an electrical emergency?</w:t>
      </w:r>
    </w:p>
    <w:p w14:paraId="35DD9972" w14:textId="77777777" w:rsidR="00817342" w:rsidRDefault="0002090D" w:rsidP="004845D9">
      <w:pPr>
        <w:spacing w:after="100"/>
        <w:jc w:val="both"/>
      </w:pPr>
      <w:r>
        <w:t>Yes. The Director has broad emergency authority to implement immediate response measures, authorize construction and maintenance outside normal procedures, suspend permitting requirements (while maintaining safety standards), and coordinate with other utilities — whenever public safety is threatened. DPU follows the American Public Power Association's four-phase emergency management cycle: mitigation, preparedness, response, and recovery.</w:t>
      </w:r>
    </w:p>
    <w:p w14:paraId="35DD9973" w14:textId="77777777" w:rsidR="00817342" w:rsidRDefault="00817342" w:rsidP="004845D9">
      <w:pPr>
        <w:spacing w:after="100"/>
        <w:jc w:val="both"/>
      </w:pPr>
    </w:p>
    <w:p w14:paraId="2AE3F8EE" w14:textId="77777777" w:rsidR="004845D9" w:rsidRDefault="004845D9">
      <w:pPr>
        <w:rPr>
          <w:b/>
          <w:bCs/>
          <w:color w:val="FFFFFF"/>
          <w:sz w:val="24"/>
          <w:szCs w:val="24"/>
        </w:rPr>
      </w:pPr>
      <w:r>
        <w:rPr>
          <w:b/>
          <w:bCs/>
          <w:color w:val="FFFFFF"/>
          <w:sz w:val="24"/>
          <w:szCs w:val="24"/>
        </w:rPr>
        <w:br w:type="page"/>
      </w:r>
    </w:p>
    <w:p w14:paraId="35DD9974" w14:textId="771CE757" w:rsidR="00817342" w:rsidRDefault="0002090D" w:rsidP="004845D9">
      <w:pPr>
        <w:shd w:val="clear" w:color="auto" w:fill="1F3864"/>
        <w:spacing w:before="280" w:after="80"/>
        <w:ind w:left="120"/>
        <w:jc w:val="both"/>
      </w:pPr>
      <w:r>
        <w:rPr>
          <w:b/>
          <w:bCs/>
          <w:color w:val="FFFFFF"/>
          <w:sz w:val="24"/>
          <w:szCs w:val="24"/>
        </w:rPr>
        <w:lastRenderedPageBreak/>
        <w:t>PART 3: Inspections</w:t>
      </w:r>
    </w:p>
    <w:p w14:paraId="35DD9975" w14:textId="77777777" w:rsidR="00817342" w:rsidRDefault="0002090D" w:rsidP="004845D9">
      <w:pPr>
        <w:spacing w:before="160" w:after="60"/>
        <w:jc w:val="both"/>
      </w:pPr>
      <w:r>
        <w:rPr>
          <w:b/>
          <w:bCs/>
        </w:rPr>
        <w:t>8.  Does DPU inspect electric utility infrastructure and equipment in City streets?</w:t>
      </w:r>
    </w:p>
    <w:p w14:paraId="35DD9976" w14:textId="77777777" w:rsidR="00817342" w:rsidRDefault="0002090D" w:rsidP="004845D9">
      <w:pPr>
        <w:spacing w:after="100"/>
        <w:jc w:val="both"/>
      </w:pPr>
      <w:r>
        <w:t>Yes. City Code grants the Director broad authority to examine and inspect all electrical work and equipment in, over, or under City streets at any time. DPU's inspection program includes scheduled lifecycle-based compliance inspections, post-construction verification for all new installations, and joint inspections with other utilities for shared infrastructure.</w:t>
      </w:r>
    </w:p>
    <w:p w14:paraId="35DD9977" w14:textId="77777777" w:rsidR="00817342" w:rsidRDefault="0002090D" w:rsidP="004845D9">
      <w:pPr>
        <w:spacing w:after="100"/>
        <w:jc w:val="both"/>
      </w:pPr>
      <w:r>
        <w:t>Safety-related inspection requests are given priority and are initiated within 48 hours. DPU also administers a red-tagged pole identification and tracking program for poles flagged as structurally deficient under Virginia Code § 56-466.1.</w:t>
      </w:r>
    </w:p>
    <w:p w14:paraId="35DD9978" w14:textId="77777777" w:rsidR="00817342" w:rsidRDefault="0002090D" w:rsidP="004845D9">
      <w:pPr>
        <w:spacing w:before="160" w:after="60"/>
        <w:jc w:val="both"/>
      </w:pPr>
      <w:r>
        <w:rPr>
          <w:b/>
          <w:bCs/>
        </w:rPr>
        <w:t>9.  What happens if DPU finds a violation?</w:t>
      </w:r>
    </w:p>
    <w:p w14:paraId="35DD9979" w14:textId="77777777" w:rsidR="00817342" w:rsidRDefault="0002090D" w:rsidP="004845D9">
      <w:pPr>
        <w:spacing w:after="100"/>
        <w:jc w:val="both"/>
      </w:pPr>
      <w:r>
        <w:t>If the Director determines that equipment or work in City streets needs to be changed, replaced, or brought into compliance, DPU will issue a written designation to the equipment owner that:</w:t>
      </w:r>
    </w:p>
    <w:p w14:paraId="35DD997A" w14:textId="77777777" w:rsidR="00817342" w:rsidRDefault="0002090D" w:rsidP="004845D9">
      <w:pPr>
        <w:pStyle w:val="ListParagraph"/>
        <w:numPr>
          <w:ilvl w:val="0"/>
          <w:numId w:val="2"/>
        </w:numPr>
        <w:spacing w:after="60"/>
        <w:jc w:val="both"/>
      </w:pPr>
      <w:r>
        <w:t>Identifies the specific code violations or safety concerns with reference to applicable standards (NESC 2023, City Code, NFPA 70E 2024, etc.)</w:t>
      </w:r>
    </w:p>
    <w:p w14:paraId="35DD997B" w14:textId="77777777" w:rsidR="00817342" w:rsidRDefault="0002090D" w:rsidP="004845D9">
      <w:pPr>
        <w:pStyle w:val="ListParagraph"/>
        <w:numPr>
          <w:ilvl w:val="0"/>
          <w:numId w:val="2"/>
        </w:numPr>
        <w:spacing w:after="60"/>
        <w:jc w:val="both"/>
      </w:pPr>
      <w:r>
        <w:t>Provides reasonable timeframes for compliance based on the severity of the issue</w:t>
      </w:r>
    </w:p>
    <w:p w14:paraId="35DD997C" w14:textId="77777777" w:rsidR="00817342" w:rsidRDefault="0002090D" w:rsidP="004845D9">
      <w:pPr>
        <w:pStyle w:val="ListParagraph"/>
        <w:numPr>
          <w:ilvl w:val="0"/>
          <w:numId w:val="2"/>
        </w:numPr>
        <w:spacing w:after="60"/>
        <w:jc w:val="both"/>
      </w:pPr>
      <w:r>
        <w:t>Specifies consequences of non-compliance, including enforcement actions</w:t>
      </w:r>
    </w:p>
    <w:p w14:paraId="35DD997D" w14:textId="77777777" w:rsidR="00817342" w:rsidRDefault="0002090D" w:rsidP="004845D9">
      <w:pPr>
        <w:pStyle w:val="ListParagraph"/>
        <w:numPr>
          <w:ilvl w:val="0"/>
          <w:numId w:val="2"/>
        </w:numPr>
        <w:spacing w:after="60"/>
        <w:jc w:val="both"/>
      </w:pPr>
      <w:r>
        <w:t>Includes appeal procedures and contact information</w:t>
      </w:r>
    </w:p>
    <w:p w14:paraId="35DD997E" w14:textId="77777777" w:rsidR="00817342" w:rsidRDefault="0002090D" w:rsidP="004845D9">
      <w:pPr>
        <w:spacing w:after="100"/>
        <w:jc w:val="both"/>
      </w:pPr>
      <w:r>
        <w:t>The equipment owner must immediately proceed to make the alterations or removals designated by the Director. Cost estimates for required work are valid for 30 days and are available upon request.</w:t>
      </w:r>
    </w:p>
    <w:p w14:paraId="35DD9980" w14:textId="77777777" w:rsidR="00817342" w:rsidRDefault="0002090D" w:rsidP="004845D9">
      <w:pPr>
        <w:shd w:val="clear" w:color="auto" w:fill="1F3864"/>
        <w:spacing w:before="280" w:after="80"/>
        <w:ind w:left="120"/>
        <w:jc w:val="both"/>
      </w:pPr>
      <w:r>
        <w:rPr>
          <w:b/>
          <w:bCs/>
          <w:color w:val="FFFFFF"/>
          <w:sz w:val="24"/>
          <w:szCs w:val="24"/>
        </w:rPr>
        <w:t>PART 4: Joint Use of Utility Poles (Pole Attachment)</w:t>
      </w:r>
    </w:p>
    <w:p w14:paraId="35DD9981" w14:textId="77777777" w:rsidR="00817342" w:rsidRDefault="0002090D" w:rsidP="004845D9">
      <w:pPr>
        <w:spacing w:before="160" w:after="60"/>
        <w:jc w:val="both"/>
      </w:pPr>
      <w:r>
        <w:rPr>
          <w:b/>
          <w:bCs/>
        </w:rPr>
        <w:t>10.  What is joint use, and who does it apply to?</w:t>
      </w:r>
    </w:p>
    <w:p w14:paraId="35DD9982" w14:textId="77777777" w:rsidR="00817342" w:rsidRDefault="0002090D" w:rsidP="004845D9">
      <w:pPr>
        <w:spacing w:after="100"/>
        <w:jc w:val="both"/>
      </w:pPr>
      <w:r>
        <w:t>"Joint use" refers to the shared use of City-owned utility poles or conduits by multiple parties — for example, a telecommunications company, cable provider, or internet service provider that attaches its lines or equipment to City poles. City Code Section 28-862 allows persons to apply to the owner of existing poles and conduits for permission to install their wires or cables.</w:t>
      </w:r>
    </w:p>
    <w:p w14:paraId="35DD9983" w14:textId="77777777" w:rsidR="00817342" w:rsidRDefault="0002090D" w:rsidP="004845D9">
      <w:pPr>
        <w:spacing w:before="160" w:after="60"/>
        <w:jc w:val="both"/>
      </w:pPr>
      <w:r>
        <w:rPr>
          <w:b/>
          <w:bCs/>
        </w:rPr>
        <w:t>11.  How do I apply to attach to a City utility pole?</w:t>
      </w:r>
    </w:p>
    <w:p w14:paraId="35DD9984" w14:textId="77777777" w:rsidR="00817342" w:rsidRDefault="0002090D" w:rsidP="004845D9">
      <w:pPr>
        <w:spacing w:after="100"/>
        <w:jc w:val="both"/>
      </w:pPr>
      <w:r>
        <w:t>Applicants must submit a joint use agreement application to DPU that includes technical specifications, NESC 2023 compliance documentation, a structural capacity analysis confirming the pole can safely support additional attachments, proof of insurance, and other documentation required by City Code and DPU's design standards. DPU will review the application for completeness and conduct a good faith negotiation process.</w:t>
      </w:r>
    </w:p>
    <w:p w14:paraId="35DD9985" w14:textId="77777777" w:rsidR="00817342" w:rsidRDefault="0002090D" w:rsidP="004845D9">
      <w:pPr>
        <w:spacing w:before="160" w:after="60"/>
        <w:jc w:val="both"/>
      </w:pPr>
      <w:r>
        <w:rPr>
          <w:b/>
          <w:bCs/>
        </w:rPr>
        <w:t>12.  What if DPU and an applicant cannot agree on joint use terms?</w:t>
      </w:r>
    </w:p>
    <w:p w14:paraId="35DD9986" w14:textId="77777777" w:rsidR="00817342" w:rsidRDefault="0002090D" w:rsidP="004845D9">
      <w:pPr>
        <w:spacing w:after="100"/>
        <w:jc w:val="both"/>
      </w:pPr>
      <w:r>
        <w:t>If the parties cannot agree on satisfactory terms after a 60-day good faith negotiation period, the Director may require the pole owner to permit joint use at terms fixed by a Board of Arbitration. The arbitration process works as follows:</w:t>
      </w:r>
    </w:p>
    <w:p w14:paraId="35DD9987" w14:textId="77777777" w:rsidR="00817342" w:rsidRDefault="0002090D" w:rsidP="004845D9">
      <w:pPr>
        <w:pStyle w:val="ListParagraph"/>
        <w:numPr>
          <w:ilvl w:val="0"/>
          <w:numId w:val="2"/>
        </w:numPr>
        <w:spacing w:after="60"/>
        <w:jc w:val="both"/>
      </w:pPr>
      <w:r>
        <w:t>Each party appoints one arbitrator; the two appointed arbitrators select a third</w:t>
      </w:r>
    </w:p>
    <w:p w14:paraId="35DD9988" w14:textId="77777777" w:rsidR="00817342" w:rsidRDefault="0002090D" w:rsidP="004845D9">
      <w:pPr>
        <w:pStyle w:val="ListParagraph"/>
        <w:numPr>
          <w:ilvl w:val="0"/>
          <w:numId w:val="2"/>
        </w:numPr>
        <w:spacing w:after="60"/>
        <w:jc w:val="both"/>
      </w:pPr>
      <w:r>
        <w:t>If the parties fail to select arbitrators within 15 days (or the third arbitrator within 30 days), the Director may appoint them</w:t>
      </w:r>
    </w:p>
    <w:p w14:paraId="35DD9989" w14:textId="77777777" w:rsidR="00817342" w:rsidRDefault="0002090D" w:rsidP="004845D9">
      <w:pPr>
        <w:pStyle w:val="ListParagraph"/>
        <w:numPr>
          <w:ilvl w:val="0"/>
          <w:numId w:val="2"/>
        </w:numPr>
        <w:spacing w:after="60"/>
        <w:jc w:val="both"/>
      </w:pPr>
      <w:r>
        <w:t xml:space="preserve">The decision of </w:t>
      </w:r>
      <w:proofErr w:type="gramStart"/>
      <w:r>
        <w:t>a majority</w:t>
      </w:r>
      <w:proofErr w:type="gramEnd"/>
      <w:r>
        <w:t xml:space="preserve"> of the Board is final and binding</w:t>
      </w:r>
    </w:p>
    <w:p w14:paraId="35DD998A" w14:textId="77777777" w:rsidR="00817342" w:rsidRDefault="0002090D" w:rsidP="004845D9">
      <w:pPr>
        <w:pStyle w:val="ListParagraph"/>
        <w:numPr>
          <w:ilvl w:val="0"/>
          <w:numId w:val="2"/>
        </w:numPr>
        <w:spacing w:after="60"/>
        <w:jc w:val="both"/>
      </w:pPr>
      <w:r>
        <w:t>Arbitration costs are split equally between the parties, unless the arbitrators determine otherwise</w:t>
      </w:r>
    </w:p>
    <w:p w14:paraId="35DD998B" w14:textId="77777777" w:rsidR="00817342" w:rsidRDefault="0002090D" w:rsidP="004845D9">
      <w:pPr>
        <w:pStyle w:val="ListParagraph"/>
        <w:numPr>
          <w:ilvl w:val="0"/>
          <w:numId w:val="2"/>
        </w:numPr>
        <w:spacing w:after="60"/>
        <w:jc w:val="both"/>
      </w:pPr>
      <w:r>
        <w:t>The Director may permit interim use of the facilities while arbitration is pending, upon the applicant providing a suitable bond</w:t>
      </w:r>
    </w:p>
    <w:p w14:paraId="35DD998C" w14:textId="77777777" w:rsidR="00817342" w:rsidRDefault="0002090D" w:rsidP="004845D9">
      <w:pPr>
        <w:spacing w:after="100"/>
        <w:jc w:val="both"/>
      </w:pPr>
      <w:r>
        <w:lastRenderedPageBreak/>
        <w:t>Arbitration decisions may be appealed under the Virginia Uniform Arbitration Act (Va. Code § 8.01-581.01 et seq.).</w:t>
      </w:r>
    </w:p>
    <w:p w14:paraId="35DD998D" w14:textId="77777777" w:rsidR="00817342" w:rsidRDefault="0002090D" w:rsidP="004845D9">
      <w:pPr>
        <w:spacing w:before="160" w:after="60"/>
        <w:jc w:val="both"/>
      </w:pPr>
      <w:r>
        <w:rPr>
          <w:b/>
          <w:bCs/>
        </w:rPr>
        <w:t>13.  Who pays for pole make-ready work and replacements?</w:t>
      </w:r>
    </w:p>
    <w:p w14:paraId="35DD998E" w14:textId="77777777" w:rsidR="00817342" w:rsidRDefault="0002090D" w:rsidP="004845D9">
      <w:pPr>
        <w:spacing w:after="100"/>
        <w:jc w:val="both"/>
      </w:pPr>
      <w:proofErr w:type="gramStart"/>
      <w:r>
        <w:t>Make-ready</w:t>
      </w:r>
      <w:proofErr w:type="gramEnd"/>
      <w:r>
        <w:t xml:space="preserve"> work costs — the work needed to prepare a pole to safely accommodate a new attachment — are shared proportionally based on attachment usage and benefit received. For pole replacements required because a pole is red-tagged (structurally deficient), the requesting </w:t>
      </w:r>
      <w:proofErr w:type="spellStart"/>
      <w:r>
        <w:t>attacher</w:t>
      </w:r>
      <w:proofErr w:type="spellEnd"/>
      <w:r>
        <w:t xml:space="preserve"> is not charged for the replacement itself; any remaining associated costs are allocated through the cost-allocation procedures in Section 4 or, if disputed, through arbitration. Incremental upgrade costs for facilities upgraded at a specific party's request are charged to that party.</w:t>
      </w:r>
    </w:p>
    <w:p w14:paraId="35DD9990" w14:textId="77777777" w:rsidR="00817342" w:rsidRDefault="0002090D" w:rsidP="004845D9">
      <w:pPr>
        <w:shd w:val="clear" w:color="auto" w:fill="1F3864"/>
        <w:spacing w:before="280" w:after="80"/>
        <w:ind w:left="120"/>
        <w:jc w:val="both"/>
      </w:pPr>
      <w:r>
        <w:rPr>
          <w:b/>
          <w:bCs/>
          <w:color w:val="FFFFFF"/>
          <w:sz w:val="24"/>
          <w:szCs w:val="24"/>
        </w:rPr>
        <w:t>PART 5: Festival Outlets on Street Lighting Poles</w:t>
      </w:r>
    </w:p>
    <w:p w14:paraId="35DD9991" w14:textId="77777777" w:rsidR="00817342" w:rsidRDefault="0002090D" w:rsidP="004845D9">
      <w:pPr>
        <w:spacing w:before="160" w:after="60"/>
        <w:jc w:val="both"/>
      </w:pPr>
      <w:r>
        <w:rPr>
          <w:b/>
          <w:bCs/>
        </w:rPr>
        <w:t>14.  What is a festival outlet, and who may use one?</w:t>
      </w:r>
    </w:p>
    <w:p w14:paraId="35DD9992" w14:textId="77777777" w:rsidR="00817342" w:rsidRDefault="0002090D" w:rsidP="004845D9">
      <w:pPr>
        <w:spacing w:after="100"/>
        <w:jc w:val="both"/>
      </w:pPr>
      <w:r>
        <w:t>Festival outlets are electrical connections on street lighting poles designed solely for City use with ornamental festival lighting — for example, holiday or seasonal decorative lighting installed by the City. City Code Section 28-872 limits festival outlets exclusively to this purpose.</w:t>
      </w:r>
    </w:p>
    <w:p w14:paraId="35DD9993" w14:textId="77777777" w:rsidR="00817342" w:rsidRDefault="0002090D" w:rsidP="004845D9">
      <w:pPr>
        <w:spacing w:before="160" w:after="60"/>
        <w:jc w:val="both"/>
      </w:pPr>
      <w:r>
        <w:rPr>
          <w:b/>
          <w:bCs/>
        </w:rPr>
        <w:t>15.  What is required to use a festival outlet?</w:t>
      </w:r>
    </w:p>
    <w:p w14:paraId="35DD9994" w14:textId="34DD3C0D" w:rsidR="00817342" w:rsidRPr="00935187" w:rsidRDefault="0002090D" w:rsidP="7306E67D">
      <w:pPr>
        <w:spacing w:after="100"/>
        <w:jc w:val="both"/>
      </w:pPr>
      <w:r w:rsidRPr="00935187">
        <w:t>All festival lighting connected to City street lighting poles must be approved by the Director and must satisfy these technical requirements:</w:t>
      </w:r>
    </w:p>
    <w:p w14:paraId="35DD9995" w14:textId="77777777" w:rsidR="00817342" w:rsidRDefault="0002090D" w:rsidP="004845D9">
      <w:pPr>
        <w:pStyle w:val="ListParagraph"/>
        <w:numPr>
          <w:ilvl w:val="0"/>
          <w:numId w:val="2"/>
        </w:numPr>
        <w:spacing w:after="60"/>
        <w:jc w:val="both"/>
      </w:pPr>
      <w:r>
        <w:t>Voltage and current compatibility with the existing street lighting circuit</w:t>
      </w:r>
    </w:p>
    <w:p w14:paraId="35DD9996" w14:textId="77777777" w:rsidR="00817342" w:rsidRDefault="0002090D" w:rsidP="004845D9">
      <w:pPr>
        <w:pStyle w:val="ListParagraph"/>
        <w:numPr>
          <w:ilvl w:val="0"/>
          <w:numId w:val="2"/>
        </w:numPr>
        <w:spacing w:after="60"/>
        <w:jc w:val="both"/>
      </w:pPr>
      <w:r>
        <w:t>Load analysis confirming the circuit will not be overloaded</w:t>
      </w:r>
    </w:p>
    <w:p w14:paraId="35DD9997" w14:textId="77777777" w:rsidR="00817342" w:rsidRDefault="0002090D" w:rsidP="004845D9">
      <w:pPr>
        <w:pStyle w:val="ListParagraph"/>
        <w:numPr>
          <w:ilvl w:val="0"/>
          <w:numId w:val="2"/>
        </w:numPr>
        <w:spacing w:after="60"/>
        <w:jc w:val="both"/>
      </w:pPr>
      <w:r>
        <w:t>NESC 2023 and applicable electrical safety code compliance</w:t>
      </w:r>
    </w:p>
    <w:p w14:paraId="35DD9998" w14:textId="77777777" w:rsidR="00817342" w:rsidRDefault="0002090D" w:rsidP="004845D9">
      <w:pPr>
        <w:pStyle w:val="ListParagraph"/>
        <w:numPr>
          <w:ilvl w:val="0"/>
          <w:numId w:val="2"/>
        </w:numPr>
        <w:spacing w:after="60"/>
        <w:jc w:val="both"/>
      </w:pPr>
      <w:r>
        <w:t>Weather-resistant outdoor-</w:t>
      </w:r>
      <w:proofErr w:type="gramStart"/>
      <w:r>
        <w:t>rated</w:t>
      </w:r>
      <w:proofErr w:type="gramEnd"/>
      <w:r>
        <w:t xml:space="preserve"> equipment</w:t>
      </w:r>
    </w:p>
    <w:p w14:paraId="35DD9999" w14:textId="77777777" w:rsidR="00817342" w:rsidRDefault="0002090D" w:rsidP="004845D9">
      <w:pPr>
        <w:pStyle w:val="ListParagraph"/>
        <w:numPr>
          <w:ilvl w:val="0"/>
          <w:numId w:val="2"/>
        </w:numPr>
        <w:spacing w:after="60"/>
        <w:jc w:val="both"/>
      </w:pPr>
      <w:r>
        <w:t>Proper grounding, circuit protection, and GFCI protection</w:t>
      </w:r>
    </w:p>
    <w:p w14:paraId="35DD999A" w14:textId="77777777" w:rsidR="00817342" w:rsidRDefault="0002090D" w:rsidP="004845D9">
      <w:pPr>
        <w:pStyle w:val="ListParagraph"/>
        <w:numPr>
          <w:ilvl w:val="0"/>
          <w:numId w:val="2"/>
        </w:numPr>
        <w:spacing w:after="60"/>
        <w:jc w:val="both"/>
      </w:pPr>
      <w:r>
        <w:t>Structural capacity analysis for the pole</w:t>
      </w:r>
    </w:p>
    <w:p w14:paraId="35DD999B" w14:textId="77777777" w:rsidR="00817342" w:rsidRDefault="0002090D" w:rsidP="004845D9">
      <w:pPr>
        <w:spacing w:after="100"/>
        <w:jc w:val="both"/>
      </w:pPr>
      <w:r>
        <w:t>All connections must be made by qualified City street lighting personnel. Temporary installations must include a documented removal timeline and identified responsible party. Festival outlet installations are subject to annual inspection.</w:t>
      </w:r>
    </w:p>
    <w:p w14:paraId="35DD999C" w14:textId="77777777" w:rsidR="00817342" w:rsidRDefault="00817342" w:rsidP="004845D9">
      <w:pPr>
        <w:spacing w:after="10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17342" w14:paraId="35DD999E" w14:textId="77777777">
        <w:tc>
          <w:tcPr>
            <w:tcW w:w="0" w:type="auto"/>
            <w:tcBorders>
              <w:top w:val="single" w:sz="6" w:space="0" w:color="C00000"/>
              <w:left w:val="single" w:sz="6" w:space="0" w:color="C00000"/>
              <w:bottom w:val="single" w:sz="6" w:space="0" w:color="C00000"/>
              <w:right w:val="single" w:sz="6" w:space="0" w:color="C00000"/>
            </w:tcBorders>
            <w:shd w:val="clear" w:color="auto" w:fill="FCE4D6"/>
            <w:tcMar>
              <w:top w:w="100" w:type="dxa"/>
              <w:left w:w="160" w:type="dxa"/>
              <w:bottom w:w="100" w:type="dxa"/>
              <w:right w:w="160" w:type="dxa"/>
            </w:tcMar>
          </w:tcPr>
          <w:p w14:paraId="35DD999D" w14:textId="77777777" w:rsidR="00817342" w:rsidRDefault="0002090D" w:rsidP="004845D9">
            <w:pPr>
              <w:jc w:val="both"/>
            </w:pPr>
            <w:r>
              <w:rPr>
                <w:b/>
                <w:bCs/>
              </w:rPr>
              <w:t xml:space="preserve">⚠  </w:t>
            </w:r>
            <w:r>
              <w:rPr>
                <w:i/>
                <w:iCs/>
              </w:rPr>
              <w:t>Festival outlets are for City use only. City Code Section 28-873 prohibits unauthorized electrical connections to the street lighting system. Unauthorized connections are a code violation subject to enforcement action.</w:t>
            </w:r>
          </w:p>
        </w:tc>
      </w:tr>
    </w:tbl>
    <w:p w14:paraId="35DD99A0" w14:textId="77777777" w:rsidR="00817342" w:rsidRDefault="0002090D" w:rsidP="004845D9">
      <w:pPr>
        <w:shd w:val="clear" w:color="auto" w:fill="1F3864"/>
        <w:spacing w:before="280" w:after="80"/>
        <w:ind w:left="120"/>
        <w:jc w:val="both"/>
      </w:pPr>
      <w:r>
        <w:rPr>
          <w:b/>
          <w:bCs/>
          <w:color w:val="FFFFFF"/>
          <w:sz w:val="24"/>
          <w:szCs w:val="24"/>
        </w:rPr>
        <w:t>PART 6: Wireless Facility Permits</w:t>
      </w:r>
    </w:p>
    <w:p w14:paraId="35DD99A1" w14:textId="77777777" w:rsidR="00817342" w:rsidRDefault="0002090D" w:rsidP="004845D9">
      <w:pPr>
        <w:spacing w:before="160" w:after="60"/>
        <w:jc w:val="both"/>
      </w:pPr>
      <w:r>
        <w:rPr>
          <w:b/>
          <w:bCs/>
        </w:rPr>
        <w:t>16.  What types of wireless facilities can be placed on City utility poles?</w:t>
      </w:r>
    </w:p>
    <w:p w14:paraId="35DD99A2" w14:textId="77777777" w:rsidR="00817342" w:rsidRDefault="0002090D" w:rsidP="004845D9">
      <w:pPr>
        <w:spacing w:after="100"/>
        <w:jc w:val="both"/>
      </w:pPr>
      <w:r>
        <w:t>DPU is authorized by City Code Section 28-889 to issue and renew permits to wireless service providers for the attachment of wireless facilities — such as small cell antennas, distributed antenna system (DAS) nodes, and related equipment — to City utility poles. Permit issuance is subject to federal requirements under the Telecommunications Act and FCC regulations (47 CFR Part 1), as well as Virginia Code § 56-484.29.</w:t>
      </w:r>
    </w:p>
    <w:p w14:paraId="35DD99A3" w14:textId="77777777" w:rsidR="00817342" w:rsidRDefault="0002090D" w:rsidP="004845D9">
      <w:pPr>
        <w:spacing w:before="160" w:after="60"/>
        <w:jc w:val="both"/>
      </w:pPr>
      <w:r>
        <w:rPr>
          <w:b/>
          <w:bCs/>
        </w:rPr>
        <w:t>17.  How do I apply for a wireless facility permit?</w:t>
      </w:r>
    </w:p>
    <w:p w14:paraId="35DD99A4" w14:textId="77777777" w:rsidR="00817342" w:rsidRDefault="0002090D" w:rsidP="004845D9">
      <w:pPr>
        <w:spacing w:after="100"/>
        <w:jc w:val="both"/>
      </w:pPr>
      <w:r>
        <w:t>Applications for wireless facility permits must be submitted through DPU's online portal and must include:</w:t>
      </w:r>
    </w:p>
    <w:p w14:paraId="35DD99A5" w14:textId="77777777" w:rsidR="00817342" w:rsidRDefault="0002090D" w:rsidP="004845D9">
      <w:pPr>
        <w:pStyle w:val="ListParagraph"/>
        <w:numPr>
          <w:ilvl w:val="0"/>
          <w:numId w:val="2"/>
        </w:numPr>
        <w:spacing w:after="60"/>
        <w:jc w:val="both"/>
      </w:pPr>
      <w:proofErr w:type="gramStart"/>
      <w:r>
        <w:t>Applicant</w:t>
      </w:r>
      <w:proofErr w:type="gramEnd"/>
      <w:r>
        <w:t xml:space="preserve"> contact information and authorized representative</w:t>
      </w:r>
    </w:p>
    <w:p w14:paraId="35DD99A6" w14:textId="77777777" w:rsidR="00817342" w:rsidRDefault="0002090D" w:rsidP="004845D9">
      <w:pPr>
        <w:pStyle w:val="ListParagraph"/>
        <w:numPr>
          <w:ilvl w:val="0"/>
          <w:numId w:val="2"/>
        </w:numPr>
        <w:spacing w:after="60"/>
        <w:jc w:val="both"/>
      </w:pPr>
      <w:r>
        <w:t>A site plan showing the proposed facility location and specifications</w:t>
      </w:r>
    </w:p>
    <w:p w14:paraId="35DD99A7" w14:textId="77777777" w:rsidR="00817342" w:rsidRDefault="0002090D" w:rsidP="004845D9">
      <w:pPr>
        <w:pStyle w:val="ListParagraph"/>
        <w:numPr>
          <w:ilvl w:val="0"/>
          <w:numId w:val="2"/>
        </w:numPr>
        <w:spacing w:after="60"/>
        <w:jc w:val="both"/>
      </w:pPr>
      <w:r>
        <w:lastRenderedPageBreak/>
        <w:t>Structural capacity analysis for the pole</w:t>
      </w:r>
    </w:p>
    <w:p w14:paraId="35DD99A8" w14:textId="77777777" w:rsidR="00817342" w:rsidRDefault="0002090D" w:rsidP="004845D9">
      <w:pPr>
        <w:pStyle w:val="ListParagraph"/>
        <w:numPr>
          <w:ilvl w:val="0"/>
          <w:numId w:val="2"/>
        </w:numPr>
        <w:spacing w:after="60"/>
        <w:jc w:val="both"/>
      </w:pPr>
      <w:r>
        <w:t>RF compliance documentation per current FCC standards (including OET Bulletin 65)</w:t>
      </w:r>
    </w:p>
    <w:p w14:paraId="35DD99A9" w14:textId="77777777" w:rsidR="00817342" w:rsidRDefault="0002090D" w:rsidP="004845D9">
      <w:pPr>
        <w:pStyle w:val="ListParagraph"/>
        <w:numPr>
          <w:ilvl w:val="0"/>
          <w:numId w:val="2"/>
        </w:numPr>
        <w:spacing w:after="60"/>
        <w:jc w:val="both"/>
      </w:pPr>
      <w:r>
        <w:t>Insurance certificates meeting City requirements</w:t>
      </w:r>
    </w:p>
    <w:p w14:paraId="35DD99AA" w14:textId="77777777" w:rsidR="00817342" w:rsidRDefault="0002090D" w:rsidP="004845D9">
      <w:pPr>
        <w:pStyle w:val="ListParagraph"/>
        <w:numPr>
          <w:ilvl w:val="0"/>
          <w:numId w:val="2"/>
        </w:numPr>
        <w:spacing w:after="60"/>
        <w:jc w:val="both"/>
      </w:pPr>
      <w:r>
        <w:t>NESC 2023 clearance and safety compliance documentation</w:t>
      </w:r>
    </w:p>
    <w:p w14:paraId="35DD99AB" w14:textId="77777777" w:rsidR="00817342" w:rsidRDefault="0002090D" w:rsidP="004845D9">
      <w:pPr>
        <w:pStyle w:val="ListParagraph"/>
        <w:numPr>
          <w:ilvl w:val="0"/>
          <w:numId w:val="2"/>
        </w:numPr>
        <w:spacing w:after="60"/>
        <w:jc w:val="both"/>
      </w:pPr>
      <w:r>
        <w:t>Environmental and historic preservation review documentation where applicable</w:t>
      </w:r>
    </w:p>
    <w:p w14:paraId="35DD99AC" w14:textId="77777777" w:rsidR="00817342" w:rsidRDefault="0002090D" w:rsidP="004845D9">
      <w:pPr>
        <w:pStyle w:val="ListParagraph"/>
        <w:numPr>
          <w:ilvl w:val="0"/>
          <w:numId w:val="2"/>
        </w:numPr>
        <w:spacing w:after="60"/>
        <w:jc w:val="both"/>
      </w:pPr>
      <w:r>
        <w:t>Any other items required by City Code Section 28-891</w:t>
      </w:r>
    </w:p>
    <w:p w14:paraId="35DD99AD" w14:textId="77777777" w:rsidR="00817342" w:rsidRDefault="0002090D" w:rsidP="004845D9">
      <w:pPr>
        <w:spacing w:after="100"/>
        <w:jc w:val="both"/>
      </w:pPr>
      <w:r>
        <w:t>Within 10 days of receipt, DPU will notify the applicant by email whether the application is complete. If DPU does not notify the applicant within 10 days, the application is deemed complete. Applicants have 30 days to cure any identified deficiencies; failure to do so results in denial.</w:t>
      </w:r>
    </w:p>
    <w:p w14:paraId="35DD99AE" w14:textId="77777777" w:rsidR="00817342" w:rsidRDefault="0002090D" w:rsidP="004845D9">
      <w:pPr>
        <w:spacing w:before="160" w:after="60"/>
        <w:jc w:val="both"/>
      </w:pPr>
      <w:r>
        <w:rPr>
          <w:b/>
          <w:bCs/>
        </w:rPr>
        <w:t>18.  How long does DPU have to act on my wireless facility application?</w:t>
      </w:r>
    </w:p>
    <w:p w14:paraId="35DD99AF" w14:textId="77777777" w:rsidR="00817342" w:rsidRDefault="0002090D" w:rsidP="004845D9">
      <w:pPr>
        <w:spacing w:after="100"/>
        <w:jc w:val="both"/>
      </w:pPr>
      <w:r>
        <w:t>Federal law establishes "shot clock" deadlines for processing wireless facility permit applications. Once an application is deemed complete, DPU must act within:</w:t>
      </w:r>
    </w:p>
    <w:p w14:paraId="35DD99B0" w14:textId="77777777" w:rsidR="00817342" w:rsidRDefault="0002090D" w:rsidP="004845D9">
      <w:pPr>
        <w:pStyle w:val="ListParagraph"/>
        <w:numPr>
          <w:ilvl w:val="0"/>
          <w:numId w:val="2"/>
        </w:numPr>
        <w:spacing w:after="60"/>
        <w:jc w:val="both"/>
      </w:pPr>
      <w:r>
        <w:t>60 days for collocation of small wireless facilities on existing structures</w:t>
      </w:r>
    </w:p>
    <w:p w14:paraId="35DD99B1" w14:textId="77777777" w:rsidR="00817342" w:rsidRDefault="0002090D" w:rsidP="004845D9">
      <w:pPr>
        <w:pStyle w:val="ListParagraph"/>
        <w:numPr>
          <w:ilvl w:val="0"/>
          <w:numId w:val="2"/>
        </w:numPr>
        <w:spacing w:after="60"/>
        <w:jc w:val="both"/>
      </w:pPr>
      <w:r>
        <w:t>90 days for collocation of small wireless facilities on new structures</w:t>
      </w:r>
    </w:p>
    <w:p w14:paraId="35DD99B2" w14:textId="77777777" w:rsidR="00817342" w:rsidRDefault="0002090D" w:rsidP="004845D9">
      <w:pPr>
        <w:pStyle w:val="ListParagraph"/>
        <w:numPr>
          <w:ilvl w:val="0"/>
          <w:numId w:val="2"/>
        </w:numPr>
        <w:spacing w:after="60"/>
        <w:jc w:val="both"/>
      </w:pPr>
      <w:r>
        <w:t>90 days for deployment of small wireless facilities using new structures</w:t>
      </w:r>
    </w:p>
    <w:p w14:paraId="35DD99B3" w14:textId="77777777" w:rsidR="00817342" w:rsidRDefault="0002090D" w:rsidP="004845D9">
      <w:pPr>
        <w:pStyle w:val="ListParagraph"/>
        <w:numPr>
          <w:ilvl w:val="0"/>
          <w:numId w:val="2"/>
        </w:numPr>
        <w:spacing w:after="60"/>
        <w:jc w:val="both"/>
      </w:pPr>
      <w:r>
        <w:t>150 days for deployment of non-small wireless facilities using new structures</w:t>
      </w:r>
    </w:p>
    <w:p w14:paraId="35DD99B4" w14:textId="77777777" w:rsidR="00817342" w:rsidRDefault="0002090D" w:rsidP="004845D9">
      <w:pPr>
        <w:spacing w:after="100"/>
        <w:jc w:val="both"/>
      </w:pPr>
      <w:r>
        <w:t>If DPU does not act within the applicable shot clock period, the application is deemed approved. Shot clocks are paused while an application is incomplete.</w:t>
      </w:r>
    </w:p>
    <w:p w14:paraId="35DD99B5" w14:textId="77777777" w:rsidR="00817342" w:rsidRDefault="0002090D" w:rsidP="004845D9">
      <w:pPr>
        <w:spacing w:before="160" w:after="60"/>
        <w:jc w:val="both"/>
      </w:pPr>
      <w:r>
        <w:rPr>
          <w:b/>
          <w:bCs/>
        </w:rPr>
        <w:t>19.  What if my wireless facility application is denied?</w:t>
      </w:r>
    </w:p>
    <w:p w14:paraId="35DD99B6" w14:textId="77777777" w:rsidR="00817342" w:rsidRDefault="0002090D" w:rsidP="004845D9">
      <w:pPr>
        <w:spacing w:after="100"/>
        <w:jc w:val="both"/>
      </w:pPr>
      <w:r>
        <w:t>Denials must be in writing and must identify specific reasons based on applicable law and published criteria, with reference to the specific requirements that were not met. You may appeal a denial — see Part 8 for appeal procedures.</w:t>
      </w:r>
    </w:p>
    <w:p w14:paraId="35DD99B8" w14:textId="77777777" w:rsidR="00817342" w:rsidRDefault="0002090D" w:rsidP="004845D9">
      <w:pPr>
        <w:shd w:val="clear" w:color="auto" w:fill="1F3864"/>
        <w:spacing w:before="280" w:after="80"/>
        <w:ind w:left="120"/>
        <w:jc w:val="both"/>
      </w:pPr>
      <w:r>
        <w:rPr>
          <w:b/>
          <w:bCs/>
          <w:color w:val="FFFFFF"/>
          <w:sz w:val="24"/>
          <w:szCs w:val="24"/>
        </w:rPr>
        <w:t>PART 7: General Permit Requirements</w:t>
      </w:r>
    </w:p>
    <w:p w14:paraId="35DD99B9" w14:textId="77777777" w:rsidR="00817342" w:rsidRDefault="0002090D" w:rsidP="004845D9">
      <w:pPr>
        <w:spacing w:before="160" w:after="60"/>
        <w:jc w:val="both"/>
      </w:pPr>
      <w:r>
        <w:rPr>
          <w:b/>
          <w:bCs/>
        </w:rPr>
        <w:t>20.  What insurance is required to hold a DPU permit?</w:t>
      </w:r>
    </w:p>
    <w:p w14:paraId="35DD99BA" w14:textId="77777777" w:rsidR="00817342" w:rsidRDefault="0002090D" w:rsidP="004845D9">
      <w:pPr>
        <w:spacing w:after="100"/>
        <w:jc w:val="both"/>
      </w:pPr>
      <w:r>
        <w:t xml:space="preserve">All permit holders (including wireless facility applicants and pole </w:t>
      </w:r>
      <w:proofErr w:type="spellStart"/>
      <w:r>
        <w:t>attachers</w:t>
      </w:r>
      <w:proofErr w:type="spellEnd"/>
      <w:r>
        <w:t>) must carry:</w:t>
      </w:r>
    </w:p>
    <w:p w14:paraId="35DD99BB" w14:textId="77777777" w:rsidR="00817342" w:rsidRDefault="0002090D" w:rsidP="004845D9">
      <w:pPr>
        <w:pStyle w:val="ListParagraph"/>
        <w:numPr>
          <w:ilvl w:val="0"/>
          <w:numId w:val="2"/>
        </w:numPr>
        <w:spacing w:after="60"/>
        <w:jc w:val="both"/>
      </w:pPr>
      <w:r>
        <w:t>Commercial general liability insurance: minimum $3,000,000 per occurrence and $5,000,000 aggregate, with the City of Richmond named as an additional insured</w:t>
      </w:r>
    </w:p>
    <w:p w14:paraId="35DD99BC" w14:textId="77777777" w:rsidR="00817342" w:rsidRDefault="0002090D" w:rsidP="004845D9">
      <w:pPr>
        <w:pStyle w:val="ListParagraph"/>
        <w:numPr>
          <w:ilvl w:val="0"/>
          <w:numId w:val="2"/>
        </w:numPr>
        <w:spacing w:after="60"/>
        <w:jc w:val="both"/>
      </w:pPr>
      <w:r>
        <w:t>Professional liability insurance for engineering and technical services</w:t>
      </w:r>
    </w:p>
    <w:p w14:paraId="35DD99BD" w14:textId="77777777" w:rsidR="00817342" w:rsidRDefault="0002090D" w:rsidP="004845D9">
      <w:pPr>
        <w:pStyle w:val="ListParagraph"/>
        <w:numPr>
          <w:ilvl w:val="0"/>
          <w:numId w:val="2"/>
        </w:numPr>
        <w:spacing w:after="60"/>
        <w:jc w:val="both"/>
      </w:pPr>
      <w:r>
        <w:t>Automobile liability coverage for vehicles used in permitted operations</w:t>
      </w:r>
    </w:p>
    <w:p w14:paraId="35DD99BE" w14:textId="77777777" w:rsidR="00817342" w:rsidRDefault="0002090D" w:rsidP="004845D9">
      <w:pPr>
        <w:pStyle w:val="ListParagraph"/>
        <w:numPr>
          <w:ilvl w:val="0"/>
          <w:numId w:val="2"/>
        </w:numPr>
        <w:spacing w:after="60"/>
        <w:jc w:val="both"/>
      </w:pPr>
      <w:r>
        <w:t xml:space="preserve">Workers' compensation coverage </w:t>
      </w:r>
      <w:proofErr w:type="gramStart"/>
      <w:r>
        <w:t>per</w:t>
      </w:r>
      <w:proofErr w:type="gramEnd"/>
      <w:r>
        <w:t xml:space="preserve"> Virginia law, with current certificates on file</w:t>
      </w:r>
    </w:p>
    <w:p w14:paraId="35DD99BF" w14:textId="77777777" w:rsidR="00817342" w:rsidRDefault="0002090D" w:rsidP="004845D9">
      <w:pPr>
        <w:pStyle w:val="ListParagraph"/>
        <w:numPr>
          <w:ilvl w:val="0"/>
          <w:numId w:val="2"/>
        </w:numPr>
        <w:spacing w:after="60"/>
        <w:jc w:val="both"/>
      </w:pPr>
      <w:r>
        <w:t>Equipment removal bond for wireless facilities, to ensure proper decommissioning</w:t>
      </w:r>
    </w:p>
    <w:p w14:paraId="35DD99C0" w14:textId="77777777" w:rsidR="00817342" w:rsidRDefault="0002090D" w:rsidP="004845D9">
      <w:pPr>
        <w:spacing w:after="100"/>
        <w:jc w:val="both"/>
      </w:pPr>
      <w:r>
        <w:t>Insurance policies must provide 30 days' advance written notice to DPU of any cancellation or material change.</w:t>
      </w:r>
    </w:p>
    <w:p w14:paraId="35DD99C1" w14:textId="77777777" w:rsidR="00817342" w:rsidRDefault="0002090D" w:rsidP="004845D9">
      <w:pPr>
        <w:spacing w:before="160" w:after="60"/>
        <w:jc w:val="both"/>
      </w:pPr>
      <w:r>
        <w:rPr>
          <w:b/>
          <w:bCs/>
        </w:rPr>
        <w:t>21.  Can DPU modify my permit after it is issued?</w:t>
      </w:r>
    </w:p>
    <w:p w14:paraId="35DD99C2" w14:textId="77777777" w:rsidR="00817342" w:rsidRDefault="0002090D" w:rsidP="004845D9">
      <w:pPr>
        <w:spacing w:after="100"/>
        <w:jc w:val="both"/>
      </w:pPr>
      <w:r>
        <w:t>Yes. The Director may modify permits based on documented changes in law, safety requirements, or system needs. DPU must provide 30 days' written notice of any modification (except for emergency safety situations). Permit modifications are subject to the appeal procedures in Section 8.03 of the regulation.</w:t>
      </w:r>
    </w:p>
    <w:p w14:paraId="31241621" w14:textId="77777777" w:rsidR="004845D9" w:rsidRDefault="004845D9">
      <w:pPr>
        <w:rPr>
          <w:b/>
          <w:bCs/>
        </w:rPr>
      </w:pPr>
      <w:r>
        <w:rPr>
          <w:b/>
          <w:bCs/>
        </w:rPr>
        <w:br w:type="page"/>
      </w:r>
    </w:p>
    <w:p w14:paraId="35DD99C3" w14:textId="06D193E9" w:rsidR="00817342" w:rsidRDefault="0002090D" w:rsidP="004845D9">
      <w:pPr>
        <w:spacing w:before="160" w:after="60"/>
        <w:jc w:val="both"/>
      </w:pPr>
      <w:r>
        <w:rPr>
          <w:b/>
          <w:bCs/>
        </w:rPr>
        <w:lastRenderedPageBreak/>
        <w:t>22.  Are bonds or other financial security required?</w:t>
      </w:r>
    </w:p>
    <w:p w14:paraId="35DD99C4" w14:textId="77777777" w:rsidR="00817342" w:rsidRDefault="0002090D" w:rsidP="004845D9">
      <w:pPr>
        <w:spacing w:after="100"/>
        <w:jc w:val="both"/>
      </w:pPr>
      <w:r>
        <w:t>Performance and payment bonds may be required under Virginia law, particularly for major construction projects. Surety companies must be rated A- or better by A.M. Best. For smaller projects under $50,000, cash deposits may be accepted in lieu of bonds. Equipment removal bonds are required for all wireless facility installations to ensure proper decommissioning when a facility is no longer in service.</w:t>
      </w:r>
    </w:p>
    <w:p w14:paraId="35DD99C6" w14:textId="77777777" w:rsidR="00817342" w:rsidRDefault="0002090D" w:rsidP="004845D9">
      <w:pPr>
        <w:shd w:val="clear" w:color="auto" w:fill="1F3864"/>
        <w:spacing w:before="280" w:after="80"/>
        <w:ind w:left="120"/>
        <w:jc w:val="both"/>
      </w:pPr>
      <w:r>
        <w:rPr>
          <w:b/>
          <w:bCs/>
          <w:color w:val="FFFFFF"/>
          <w:sz w:val="24"/>
          <w:szCs w:val="24"/>
        </w:rPr>
        <w:t>PART 8: Permit Approvals, Denials, Revocations, and Appeals</w:t>
      </w:r>
    </w:p>
    <w:p w14:paraId="35DD99C7" w14:textId="77777777" w:rsidR="00817342" w:rsidRDefault="0002090D" w:rsidP="004845D9">
      <w:pPr>
        <w:spacing w:before="160" w:after="60"/>
        <w:jc w:val="both"/>
      </w:pPr>
      <w:r>
        <w:rPr>
          <w:b/>
          <w:bCs/>
        </w:rPr>
        <w:t>23.  How does DPU decide whether to approve a permit?</w:t>
      </w:r>
    </w:p>
    <w:p w14:paraId="35DD99C8" w14:textId="77777777" w:rsidR="00817342" w:rsidRDefault="0002090D" w:rsidP="004845D9">
      <w:pPr>
        <w:spacing w:after="100"/>
        <w:jc w:val="both"/>
      </w:pPr>
      <w:r>
        <w:t>DPU evaluates permit applications based on:</w:t>
      </w:r>
    </w:p>
    <w:p w14:paraId="35DD99C9" w14:textId="77777777" w:rsidR="00817342" w:rsidRDefault="0002090D" w:rsidP="004845D9">
      <w:pPr>
        <w:pStyle w:val="ListParagraph"/>
        <w:numPr>
          <w:ilvl w:val="0"/>
          <w:numId w:val="2"/>
        </w:numPr>
        <w:spacing w:after="60"/>
        <w:jc w:val="both"/>
      </w:pPr>
      <w:r>
        <w:t>Technical compliance with NESC 2023, NEC 2023, and applicable FCC and state regulations</w:t>
      </w:r>
    </w:p>
    <w:p w14:paraId="35DD99CA" w14:textId="77777777" w:rsidR="00817342" w:rsidRDefault="0002090D" w:rsidP="004845D9">
      <w:pPr>
        <w:pStyle w:val="ListParagraph"/>
        <w:numPr>
          <w:ilvl w:val="0"/>
          <w:numId w:val="2"/>
        </w:numPr>
        <w:spacing w:after="60"/>
        <w:jc w:val="both"/>
      </w:pPr>
      <w:r>
        <w:t>Applicant's demonstrated qualifications and financial capacity</w:t>
      </w:r>
    </w:p>
    <w:p w14:paraId="35DD99CB" w14:textId="77777777" w:rsidR="00817342" w:rsidRDefault="0002090D" w:rsidP="004845D9">
      <w:pPr>
        <w:pStyle w:val="ListParagraph"/>
        <w:numPr>
          <w:ilvl w:val="0"/>
          <w:numId w:val="2"/>
        </w:numPr>
        <w:spacing w:after="60"/>
        <w:jc w:val="both"/>
      </w:pPr>
      <w:r>
        <w:t>Insurance and bonding requirements</w:t>
      </w:r>
    </w:p>
    <w:p w14:paraId="35DD99CC" w14:textId="77777777" w:rsidR="00817342" w:rsidRDefault="0002090D" w:rsidP="004845D9">
      <w:pPr>
        <w:pStyle w:val="ListParagraph"/>
        <w:numPr>
          <w:ilvl w:val="0"/>
          <w:numId w:val="2"/>
        </w:numPr>
        <w:spacing w:after="60"/>
        <w:jc w:val="both"/>
      </w:pPr>
      <w:r>
        <w:t>Payment of applicable fees</w:t>
      </w:r>
    </w:p>
    <w:p w14:paraId="35DD99CD" w14:textId="77777777" w:rsidR="00817342" w:rsidRDefault="0002090D" w:rsidP="004845D9">
      <w:pPr>
        <w:pStyle w:val="ListParagraph"/>
        <w:numPr>
          <w:ilvl w:val="0"/>
          <w:numId w:val="2"/>
        </w:numPr>
        <w:spacing w:after="60"/>
        <w:jc w:val="both"/>
      </w:pPr>
      <w:r>
        <w:t>Environmental, historic preservation, and right-of-way compatibility</w:t>
      </w:r>
    </w:p>
    <w:p w14:paraId="35DD99CE" w14:textId="77777777" w:rsidR="00817342" w:rsidRDefault="0002090D" w:rsidP="004845D9">
      <w:pPr>
        <w:spacing w:after="100"/>
        <w:jc w:val="both"/>
      </w:pPr>
      <w:r>
        <w:t>DPU publishes standard permit application forms, processing timelines, fee schedules, and approval criteria on its website. Fee schedules are updated annually.</w:t>
      </w:r>
    </w:p>
    <w:p w14:paraId="35DD99CF" w14:textId="77777777" w:rsidR="00817342" w:rsidRDefault="0002090D" w:rsidP="004845D9">
      <w:pPr>
        <w:spacing w:before="160" w:after="60"/>
        <w:jc w:val="both"/>
      </w:pPr>
      <w:r>
        <w:rPr>
          <w:b/>
          <w:bCs/>
        </w:rPr>
        <w:t>24.  What if my permit is denied or revoked?</w:t>
      </w:r>
    </w:p>
    <w:p w14:paraId="35DD99D0" w14:textId="77777777" w:rsidR="00817342" w:rsidRDefault="0002090D" w:rsidP="004845D9">
      <w:pPr>
        <w:spacing w:after="100"/>
        <w:jc w:val="both"/>
      </w:pPr>
      <w:r>
        <w:t>DPU must provide written notice of any denial or revocation. The notice must include specific grounds for the decision with reference to applicable law and published criteria. Permit revocation procedures include an opportunity for the permit holder to be heard before a final decision is made, except in emergency situations involving immediate safety hazards.</w:t>
      </w:r>
    </w:p>
    <w:p w14:paraId="35DD99D1" w14:textId="77777777" w:rsidR="00817342" w:rsidRDefault="0002090D" w:rsidP="004845D9">
      <w:pPr>
        <w:spacing w:before="160" w:after="60"/>
        <w:jc w:val="both"/>
      </w:pPr>
      <w:r>
        <w:rPr>
          <w:b/>
          <w:bCs/>
        </w:rPr>
        <w:t>25.  How do I appeal a decision under this regulation?</w:t>
      </w:r>
    </w:p>
    <w:p w14:paraId="35DD99D2" w14:textId="77777777" w:rsidR="00817342" w:rsidRDefault="0002090D" w:rsidP="004845D9">
      <w:pPr>
        <w:spacing w:after="100"/>
        <w:jc w:val="both"/>
      </w:pPr>
      <w:r>
        <w:t>Any person aggrieved by a decision of the Director may appeal using this process:</w:t>
      </w:r>
    </w:p>
    <w:p w14:paraId="35DD99D3" w14:textId="77777777" w:rsidR="00817342" w:rsidRDefault="0002090D" w:rsidP="004845D9">
      <w:pPr>
        <w:pStyle w:val="ListParagraph"/>
        <w:numPr>
          <w:ilvl w:val="0"/>
          <w:numId w:val="2"/>
        </w:numPr>
        <w:spacing w:after="60"/>
        <w:jc w:val="both"/>
      </w:pPr>
      <w:r>
        <w:t>Step 1: File a written appeal with the Chief Administrative Officer within 30 days of written notice of the Director's decision. The appeal must state the specific grounds for disagreement and include supporting documentation.</w:t>
      </w:r>
    </w:p>
    <w:p w14:paraId="35DD99D4" w14:textId="77777777" w:rsidR="00817342" w:rsidRDefault="0002090D" w:rsidP="004845D9">
      <w:pPr>
        <w:pStyle w:val="ListParagraph"/>
        <w:numPr>
          <w:ilvl w:val="0"/>
          <w:numId w:val="2"/>
        </w:numPr>
        <w:spacing w:after="60"/>
        <w:jc w:val="both"/>
      </w:pPr>
      <w:r>
        <w:t xml:space="preserve">Step 2: The Chief Administrative Officer (or designee) will conduct a de novo review, with an opportunity for written submissions and oral </w:t>
      </w:r>
      <w:proofErr w:type="gramStart"/>
      <w:r>
        <w:t>argument</w:t>
      </w:r>
      <w:proofErr w:type="gramEnd"/>
      <w:r>
        <w:t>. A written decision with findings of fact and conclusions of law will be issued within 45 days of a complete filing.</w:t>
      </w:r>
    </w:p>
    <w:p w14:paraId="35DD99D5" w14:textId="77777777" w:rsidR="00817342" w:rsidRDefault="0002090D" w:rsidP="004845D9">
      <w:pPr>
        <w:pStyle w:val="ListParagraph"/>
        <w:numPr>
          <w:ilvl w:val="0"/>
          <w:numId w:val="2"/>
        </w:numPr>
        <w:spacing w:after="60"/>
        <w:jc w:val="both"/>
      </w:pPr>
      <w:r>
        <w:t>Step 3: If still dissatisfied, you may appeal the Chief Administrative Officer's decision to City Council within 30 days. Final appeal rights under Virginia law are preserved.</w:t>
      </w:r>
    </w:p>
    <w:p w14:paraId="35DD99D6" w14:textId="77777777" w:rsidR="00817342" w:rsidRDefault="0002090D" w:rsidP="004845D9">
      <w:pPr>
        <w:spacing w:after="100"/>
        <w:jc w:val="both"/>
      </w:pPr>
      <w:r>
        <w:t>For decisions involving immediate safety hazards or service interruptions, expedited appeal procedures are available, with a decision required within 5 business days.</w:t>
      </w:r>
    </w:p>
    <w:p w14:paraId="35DD99D8" w14:textId="77777777" w:rsidR="00817342" w:rsidRDefault="0002090D" w:rsidP="004845D9">
      <w:pPr>
        <w:shd w:val="clear" w:color="auto" w:fill="1F3864"/>
        <w:spacing w:before="280" w:after="80"/>
        <w:ind w:left="120"/>
        <w:jc w:val="both"/>
      </w:pPr>
      <w:r>
        <w:rPr>
          <w:b/>
          <w:bCs/>
          <w:color w:val="FFFFFF"/>
          <w:sz w:val="24"/>
          <w:szCs w:val="24"/>
        </w:rPr>
        <w:t>PART 9: DPU's Partnership with the Department of Public Works</w:t>
      </w:r>
    </w:p>
    <w:p w14:paraId="35DD99D9" w14:textId="77777777" w:rsidR="00817342" w:rsidRDefault="0002090D" w:rsidP="004845D9">
      <w:pPr>
        <w:spacing w:before="160" w:after="60"/>
        <w:jc w:val="both"/>
      </w:pPr>
      <w:r>
        <w:rPr>
          <w:b/>
          <w:bCs/>
        </w:rPr>
        <w:t>26.  Who manages day-to-day electric utility operations?</w:t>
      </w:r>
    </w:p>
    <w:p w14:paraId="35DD99DA" w14:textId="77777777" w:rsidR="00817342" w:rsidRDefault="0002090D" w:rsidP="004845D9">
      <w:pPr>
        <w:spacing w:after="100"/>
        <w:jc w:val="both"/>
      </w:pPr>
      <w:r>
        <w:t>Section 9 of the regulation formalizes an existing operational arrangement: the Director of Public Utilities delegates day-to-day electric utility operations to the Director of Public Works (or designee). This includes emergency response, routine maintenance and repair, construction and installation of electric facilities and street lighting, contractor management, permit issuance and inspection in the field, joint use administration, vegetation management, and customer service requests related to electric service connections and street lighting.</w:t>
      </w:r>
    </w:p>
    <w:p w14:paraId="27B0914A" w14:textId="77777777" w:rsidR="0077561A" w:rsidRDefault="0077561A">
      <w:pPr>
        <w:rPr>
          <w:b/>
          <w:bCs/>
        </w:rPr>
      </w:pPr>
      <w:r>
        <w:rPr>
          <w:b/>
          <w:bCs/>
        </w:rPr>
        <w:br w:type="page"/>
      </w:r>
    </w:p>
    <w:p w14:paraId="35DD99DB" w14:textId="79009DBF" w:rsidR="00817342" w:rsidRDefault="0002090D" w:rsidP="004845D9">
      <w:pPr>
        <w:spacing w:before="160" w:after="60"/>
        <w:jc w:val="both"/>
      </w:pPr>
      <w:r>
        <w:rPr>
          <w:b/>
          <w:bCs/>
        </w:rPr>
        <w:lastRenderedPageBreak/>
        <w:t>27.  What authority does DPU retain?</w:t>
      </w:r>
    </w:p>
    <w:p w14:paraId="35DD99DC" w14:textId="77777777" w:rsidR="00817342" w:rsidRDefault="0002090D" w:rsidP="004845D9">
      <w:pPr>
        <w:spacing w:after="100"/>
        <w:jc w:val="both"/>
      </w:pPr>
      <w:r>
        <w:t>The Director of Public Utilities retains exclusive authority over:</w:t>
      </w:r>
    </w:p>
    <w:p w14:paraId="35DD99DD" w14:textId="77777777" w:rsidR="00817342" w:rsidRDefault="0002090D" w:rsidP="004845D9">
      <w:pPr>
        <w:pStyle w:val="ListParagraph"/>
        <w:numPr>
          <w:ilvl w:val="0"/>
          <w:numId w:val="2"/>
        </w:numPr>
        <w:spacing w:after="60"/>
        <w:jc w:val="both"/>
      </w:pPr>
      <w:r>
        <w:t>Budget development, rate-setting recommendations, and long-term financial planning (City Charter §§ 13.06 and 13.09)</w:t>
      </w:r>
    </w:p>
    <w:p w14:paraId="35DD99DE" w14:textId="77777777" w:rsidR="00817342" w:rsidRDefault="0002090D" w:rsidP="004845D9">
      <w:pPr>
        <w:pStyle w:val="ListParagraph"/>
        <w:numPr>
          <w:ilvl w:val="0"/>
          <w:numId w:val="2"/>
        </w:numPr>
        <w:spacing w:after="60"/>
        <w:jc w:val="both"/>
      </w:pPr>
      <w:r>
        <w:t>Setting and adjusting pole attachment and underground wire fees (City Code §§ 28-866 and 28-867)</w:t>
      </w:r>
    </w:p>
    <w:p w14:paraId="35DD99DF" w14:textId="77777777" w:rsidR="00817342" w:rsidRDefault="0002090D" w:rsidP="004845D9">
      <w:pPr>
        <w:pStyle w:val="ListParagraph"/>
        <w:numPr>
          <w:ilvl w:val="0"/>
          <w:numId w:val="2"/>
        </w:numPr>
        <w:spacing w:after="60"/>
        <w:jc w:val="both"/>
      </w:pPr>
      <w:r>
        <w:t>Warehouse, inventory, and procurement management</w:t>
      </w:r>
    </w:p>
    <w:p w14:paraId="35DD99E0" w14:textId="77777777" w:rsidR="00817342" w:rsidRDefault="0002090D" w:rsidP="004845D9">
      <w:pPr>
        <w:pStyle w:val="ListParagraph"/>
        <w:numPr>
          <w:ilvl w:val="0"/>
          <w:numId w:val="2"/>
        </w:numPr>
        <w:spacing w:after="60"/>
        <w:jc w:val="both"/>
      </w:pPr>
      <w:r>
        <w:t>Rules, regulations, and policy development for the electric utility</w:t>
      </w:r>
    </w:p>
    <w:p w14:paraId="35DD99E1" w14:textId="77777777" w:rsidR="00817342" w:rsidRDefault="0002090D" w:rsidP="004845D9">
      <w:pPr>
        <w:pStyle w:val="ListParagraph"/>
        <w:numPr>
          <w:ilvl w:val="0"/>
          <w:numId w:val="2"/>
        </w:numPr>
        <w:spacing w:after="60"/>
        <w:jc w:val="both"/>
      </w:pPr>
      <w:r>
        <w:t>Regulatory compliance reporting to state and federal agencies</w:t>
      </w:r>
    </w:p>
    <w:p w14:paraId="35DD99E2" w14:textId="77777777" w:rsidR="00817342" w:rsidRDefault="0002090D" w:rsidP="004845D9">
      <w:pPr>
        <w:pStyle w:val="ListParagraph"/>
        <w:numPr>
          <w:ilvl w:val="0"/>
          <w:numId w:val="2"/>
        </w:numPr>
        <w:spacing w:after="60"/>
        <w:jc w:val="both"/>
      </w:pPr>
      <w:r>
        <w:t>The authority to resume direct control of any delegated function if necessary for compliance, safety, or operational efficiency</w:t>
      </w:r>
    </w:p>
    <w:p w14:paraId="35DD99E3" w14:textId="77777777" w:rsidR="00817342" w:rsidRDefault="0002090D" w:rsidP="004845D9">
      <w:pPr>
        <w:spacing w:before="160" w:after="60"/>
        <w:jc w:val="both"/>
      </w:pPr>
      <w:r>
        <w:rPr>
          <w:b/>
          <w:bCs/>
        </w:rPr>
        <w:t>28.  How are the two departments kept accountable to each other?</w:t>
      </w:r>
    </w:p>
    <w:p w14:paraId="35DD99E4" w14:textId="77777777" w:rsidR="00817342" w:rsidRDefault="0002090D" w:rsidP="004845D9">
      <w:pPr>
        <w:spacing w:after="100"/>
        <w:jc w:val="both"/>
      </w:pPr>
      <w:r>
        <w:t>The regulation establishes structured reporting from DPW to DPU, including:</w:t>
      </w:r>
    </w:p>
    <w:p w14:paraId="35DD99E5" w14:textId="77777777" w:rsidR="00817342" w:rsidRDefault="0002090D" w:rsidP="004845D9">
      <w:pPr>
        <w:pStyle w:val="ListParagraph"/>
        <w:numPr>
          <w:ilvl w:val="0"/>
          <w:numId w:val="2"/>
        </w:numPr>
        <w:spacing w:after="60"/>
        <w:jc w:val="both"/>
      </w:pPr>
      <w:r>
        <w:t>Daily reports during emergency events or major outages</w:t>
      </w:r>
    </w:p>
    <w:p w14:paraId="35DD99E6" w14:textId="77777777" w:rsidR="00817342" w:rsidRDefault="0002090D" w:rsidP="004845D9">
      <w:pPr>
        <w:pStyle w:val="ListParagraph"/>
        <w:numPr>
          <w:ilvl w:val="0"/>
          <w:numId w:val="2"/>
        </w:numPr>
        <w:spacing w:after="60"/>
        <w:jc w:val="both"/>
      </w:pPr>
      <w:r>
        <w:t>Monthly safety incident reports and OSHA recordables</w:t>
      </w:r>
    </w:p>
    <w:p w14:paraId="35DD99E8" w14:textId="77777777" w:rsidR="00817342" w:rsidRDefault="0002090D" w:rsidP="004845D9">
      <w:pPr>
        <w:pStyle w:val="ListParagraph"/>
        <w:numPr>
          <w:ilvl w:val="0"/>
          <w:numId w:val="2"/>
        </w:numPr>
        <w:spacing w:after="60"/>
        <w:jc w:val="both"/>
      </w:pPr>
      <w:r>
        <w:t>Quarterly reports on City Code compliance for underground districts, festival outlet safety, and pole inventory for fee assessment</w:t>
      </w:r>
    </w:p>
    <w:p w14:paraId="35DD99E9" w14:textId="77777777" w:rsidR="00817342" w:rsidRDefault="0002090D" w:rsidP="004845D9">
      <w:pPr>
        <w:pStyle w:val="ListParagraph"/>
        <w:numPr>
          <w:ilvl w:val="0"/>
          <w:numId w:val="2"/>
        </w:numPr>
        <w:spacing w:after="60"/>
        <w:jc w:val="both"/>
      </w:pPr>
      <w:r>
        <w:t>Annual comprehensive reports on NESC compliance and other regulatory requirements</w:t>
      </w:r>
    </w:p>
    <w:p w14:paraId="65D74C11" w14:textId="0FE2B08A" w:rsidR="001F5505" w:rsidRDefault="0002090D" w:rsidP="00935187">
      <w:pPr>
        <w:spacing w:after="100"/>
        <w:jc w:val="both"/>
        <w:rPr>
          <w:b/>
          <w:bCs/>
          <w:sz w:val="24"/>
          <w:szCs w:val="24"/>
        </w:rPr>
      </w:pPr>
      <w:r>
        <w:t>If a disagreement between the Directors cannot be resolved through direct consultation, the matter is referred to the Deputy Chief Administrative Officer of Operations for determination. The delegation arrangement is reviewed annually by both Directors.</w:t>
      </w:r>
    </w:p>
    <w:p w14:paraId="0EA52A36" w14:textId="77777777" w:rsidR="00935187" w:rsidRDefault="00935187">
      <w:pPr>
        <w:rPr>
          <w:b/>
          <w:bCs/>
          <w:sz w:val="24"/>
          <w:szCs w:val="24"/>
        </w:rPr>
      </w:pPr>
      <w:r>
        <w:rPr>
          <w:b/>
          <w:bCs/>
          <w:sz w:val="24"/>
          <w:szCs w:val="24"/>
        </w:rPr>
        <w:br w:type="page"/>
      </w:r>
    </w:p>
    <w:p w14:paraId="35DD99EC" w14:textId="069B4B52" w:rsidR="00817342" w:rsidRDefault="0002090D" w:rsidP="004845D9">
      <w:pPr>
        <w:spacing w:before="200" w:after="100"/>
        <w:jc w:val="both"/>
      </w:pPr>
      <w:r>
        <w:rPr>
          <w:b/>
          <w:bCs/>
          <w:sz w:val="24"/>
          <w:szCs w:val="24"/>
        </w:rPr>
        <w:lastRenderedPageBreak/>
        <w:t>Important Things to Know</w:t>
      </w:r>
    </w:p>
    <w:p w14:paraId="35DD99ED" w14:textId="77777777" w:rsidR="00817342" w:rsidRDefault="0002090D" w:rsidP="004845D9">
      <w:pPr>
        <w:pStyle w:val="ListParagraph"/>
        <w:numPr>
          <w:ilvl w:val="0"/>
          <w:numId w:val="2"/>
        </w:numPr>
        <w:spacing w:after="60"/>
        <w:jc w:val="both"/>
      </w:pPr>
      <w:r>
        <w:t>Non-discrimination: DPU does not discriminate in permit processing or enforcement based on race, color, national origin, age, disability, or economic status.</w:t>
      </w:r>
    </w:p>
    <w:p w14:paraId="35DD99EE" w14:textId="77777777" w:rsidR="00817342" w:rsidRDefault="0002090D" w:rsidP="004845D9">
      <w:pPr>
        <w:pStyle w:val="ListParagraph"/>
        <w:numPr>
          <w:ilvl w:val="0"/>
          <w:numId w:val="2"/>
        </w:numPr>
        <w:spacing w:after="60"/>
        <w:jc w:val="both"/>
      </w:pPr>
      <w:r>
        <w:t xml:space="preserve">Existing permits are </w:t>
      </w:r>
      <w:proofErr w:type="gramStart"/>
      <w:r>
        <w:t>protected</w:t>
      </w:r>
      <w:proofErr w:type="gramEnd"/>
      <w:r>
        <w:t xml:space="preserve">: Permits issued before this regulation </w:t>
      </w:r>
      <w:proofErr w:type="gramStart"/>
      <w:r>
        <w:t>takes</w:t>
      </w:r>
      <w:proofErr w:type="gramEnd"/>
      <w:r>
        <w:t xml:space="preserve"> effect remain valid under their current terms until renewal.</w:t>
      </w:r>
    </w:p>
    <w:p w14:paraId="35DD99EF" w14:textId="77777777" w:rsidR="00817342" w:rsidRDefault="0002090D" w:rsidP="004845D9">
      <w:pPr>
        <w:pStyle w:val="ListParagraph"/>
        <w:numPr>
          <w:ilvl w:val="0"/>
          <w:numId w:val="2"/>
        </w:numPr>
        <w:spacing w:after="60"/>
        <w:jc w:val="both"/>
      </w:pPr>
      <w:r>
        <w:t>Pending applications: Applications pending at adoption will be processed under the new standards if those standards are more favorable to the applicant.</w:t>
      </w:r>
    </w:p>
    <w:p w14:paraId="35DD99F0" w14:textId="77777777" w:rsidR="00817342" w:rsidRDefault="0002090D" w:rsidP="004845D9">
      <w:pPr>
        <w:pStyle w:val="ListParagraph"/>
        <w:numPr>
          <w:ilvl w:val="0"/>
          <w:numId w:val="2"/>
        </w:numPr>
        <w:spacing w:after="60"/>
        <w:jc w:val="both"/>
      </w:pPr>
      <w:r>
        <w:t>Existing joint use agreements remain valid but may be updated to current standards upon renewal.</w:t>
      </w:r>
    </w:p>
    <w:p w14:paraId="35DD99F1" w14:textId="77777777" w:rsidR="00817342" w:rsidRDefault="0002090D" w:rsidP="004845D9">
      <w:pPr>
        <w:pStyle w:val="ListParagraph"/>
        <w:numPr>
          <w:ilvl w:val="0"/>
          <w:numId w:val="2"/>
        </w:numPr>
        <w:spacing w:after="60"/>
        <w:jc w:val="both"/>
      </w:pPr>
      <w:r>
        <w:t>Training phase-in: Existing electric utility personnel have 180 days from adoption to meet updated training and certification requirements.</w:t>
      </w:r>
    </w:p>
    <w:p w14:paraId="183075A8" w14:textId="77777777" w:rsidR="001F5505" w:rsidRDefault="0002090D" w:rsidP="001F5505">
      <w:pPr>
        <w:pStyle w:val="ListParagraph"/>
        <w:numPr>
          <w:ilvl w:val="0"/>
          <w:numId w:val="2"/>
        </w:numPr>
        <w:spacing w:after="60"/>
        <w:jc w:val="both"/>
      </w:pPr>
      <w:r>
        <w:t>This regulation is adopted pursuant to authority granted in Richmond City Code Article VII, Richmond City Charter Chapter 13, and applicable state and federal law. DPU reviews its regulations regularly to reflect changes in federal, state, and industry standards.</w:t>
      </w:r>
    </w:p>
    <w:p w14:paraId="28F6AE39" w14:textId="77777777" w:rsidR="001F5505" w:rsidRDefault="001F5505" w:rsidP="001F5505">
      <w:pPr>
        <w:spacing w:after="60"/>
        <w:ind w:left="280"/>
        <w:jc w:val="both"/>
      </w:pPr>
    </w:p>
    <w:p w14:paraId="35DD99F4" w14:textId="161E718B" w:rsidR="00817342" w:rsidRDefault="0002090D" w:rsidP="001F5505">
      <w:pPr>
        <w:spacing w:after="60"/>
        <w:jc w:val="both"/>
      </w:pPr>
      <w:r w:rsidRPr="001F5505">
        <w:rPr>
          <w:b/>
          <w:bCs/>
          <w:sz w:val="24"/>
          <w:szCs w:val="24"/>
        </w:rPr>
        <w:t>Tips for a Smooth Experience with DPU</w:t>
      </w:r>
    </w:p>
    <w:p w14:paraId="35DD99F5" w14:textId="77777777" w:rsidR="00817342" w:rsidRDefault="0002090D" w:rsidP="004845D9">
      <w:pPr>
        <w:pStyle w:val="ListParagraph"/>
        <w:numPr>
          <w:ilvl w:val="0"/>
          <w:numId w:val="2"/>
        </w:numPr>
        <w:spacing w:after="60"/>
        <w:jc w:val="both"/>
      </w:pPr>
      <w:r>
        <w:t>Start the application process early — completeness review, technical assessments, and coordination with other departments take time.</w:t>
      </w:r>
    </w:p>
    <w:p w14:paraId="35DD99F6" w14:textId="77777777" w:rsidR="00817342" w:rsidRDefault="0002090D" w:rsidP="004845D9">
      <w:pPr>
        <w:pStyle w:val="ListParagraph"/>
        <w:numPr>
          <w:ilvl w:val="0"/>
          <w:numId w:val="2"/>
        </w:numPr>
        <w:spacing w:after="60"/>
        <w:jc w:val="both"/>
      </w:pPr>
      <w:r>
        <w:t>Keep your attachment agreements, insurance certificates, and contractor certifications current — expired documentation can delay approvals.</w:t>
      </w:r>
    </w:p>
    <w:p w14:paraId="35DD99F7" w14:textId="77777777" w:rsidR="00817342" w:rsidRDefault="0002090D" w:rsidP="004845D9">
      <w:pPr>
        <w:pStyle w:val="ListParagraph"/>
        <w:numPr>
          <w:ilvl w:val="0"/>
          <w:numId w:val="2"/>
        </w:numPr>
        <w:spacing w:after="60"/>
        <w:jc w:val="both"/>
      </w:pPr>
      <w:r>
        <w:t>Contact DPU before beginning any work involving City electric infrastructure to confirm permit requirements and avoid unauthorized connections.</w:t>
      </w:r>
    </w:p>
    <w:p w14:paraId="35DD99F8" w14:textId="77777777" w:rsidR="00817342" w:rsidRDefault="0002090D" w:rsidP="004845D9">
      <w:pPr>
        <w:pStyle w:val="ListParagraph"/>
        <w:numPr>
          <w:ilvl w:val="0"/>
          <w:numId w:val="2"/>
        </w:numPr>
        <w:spacing w:after="60"/>
        <w:jc w:val="both"/>
      </w:pPr>
      <w:r>
        <w:t>If you receive a written designation from the Director requiring alterations or removals, respond promptly — timelines are based on severity, and enforcement actions may follow.</w:t>
      </w:r>
    </w:p>
    <w:p w14:paraId="35DD99F9" w14:textId="77777777" w:rsidR="00817342" w:rsidRDefault="0002090D" w:rsidP="004845D9">
      <w:pPr>
        <w:pStyle w:val="ListParagraph"/>
        <w:numPr>
          <w:ilvl w:val="0"/>
          <w:numId w:val="2"/>
        </w:numPr>
        <w:spacing w:after="60"/>
        <w:jc w:val="both"/>
      </w:pPr>
      <w:r>
        <w:t>If you are uncertain whether your project requires a permit or involves joint use, contact DPU early — informal guidance is available before formal applications are submitted.</w:t>
      </w:r>
    </w:p>
    <w:p w14:paraId="35DD99FA" w14:textId="77777777" w:rsidR="00817342" w:rsidRDefault="0002090D" w:rsidP="004845D9">
      <w:pPr>
        <w:pStyle w:val="ListParagraph"/>
        <w:numPr>
          <w:ilvl w:val="0"/>
          <w:numId w:val="2"/>
        </w:numPr>
        <w:spacing w:after="60"/>
        <w:jc w:val="both"/>
      </w:pPr>
      <w:r>
        <w:t>Keep records of all submissions, approvals, correspondence, and inspection reports related to your permit or attachment agreement.</w:t>
      </w:r>
    </w:p>
    <w:p w14:paraId="35DD99FB" w14:textId="77777777" w:rsidR="00817342" w:rsidRDefault="00817342" w:rsidP="004845D9">
      <w:pPr>
        <w:spacing w:after="10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817342" w14:paraId="35DD9A01" w14:textId="77777777">
        <w:tc>
          <w:tcPr>
            <w:tcW w:w="0" w:type="auto"/>
            <w:tcBorders>
              <w:top w:val="single" w:sz="12" w:space="0" w:color="1F3864"/>
              <w:left w:val="single" w:sz="12" w:space="0" w:color="1F3864"/>
              <w:bottom w:val="single" w:sz="12" w:space="0" w:color="1F3864"/>
              <w:right w:val="single" w:sz="12" w:space="0" w:color="1F3864"/>
            </w:tcBorders>
            <w:shd w:val="clear" w:color="auto" w:fill="1F3864"/>
            <w:tcMar>
              <w:top w:w="120" w:type="dxa"/>
              <w:left w:w="200" w:type="dxa"/>
              <w:bottom w:w="120" w:type="dxa"/>
              <w:right w:w="200" w:type="dxa"/>
            </w:tcMar>
          </w:tcPr>
          <w:p w14:paraId="35DD99FC" w14:textId="77777777" w:rsidR="00817342" w:rsidRDefault="0002090D" w:rsidP="004845D9">
            <w:pPr>
              <w:spacing w:after="80"/>
              <w:jc w:val="both"/>
            </w:pPr>
            <w:r>
              <w:rPr>
                <w:b/>
                <w:bCs/>
                <w:color w:val="FFFFFF"/>
              </w:rPr>
              <w:t>For Questions About This Proposed Regulation:</w:t>
            </w:r>
          </w:p>
          <w:p w14:paraId="35DD99FD" w14:textId="77777777" w:rsidR="00817342" w:rsidRDefault="0002090D" w:rsidP="004845D9">
            <w:pPr>
              <w:spacing w:after="60"/>
              <w:jc w:val="both"/>
            </w:pPr>
            <w:r>
              <w:rPr>
                <w:color w:val="FFFFFF"/>
              </w:rPr>
              <w:t>Call: (804) 646-5209     Email: Lee.Crowell@RVA.Gov</w:t>
            </w:r>
          </w:p>
          <w:p w14:paraId="35DD99FE" w14:textId="77777777" w:rsidR="00817342" w:rsidRDefault="0002090D" w:rsidP="004845D9">
            <w:pPr>
              <w:spacing w:after="60"/>
              <w:jc w:val="both"/>
            </w:pPr>
            <w:r>
              <w:rPr>
                <w:color w:val="FFFFFF"/>
              </w:rPr>
              <w:t>Website: https://www.rva.gov/public-utilities/rulesandregulations</w:t>
            </w:r>
          </w:p>
          <w:p w14:paraId="35DD99FF" w14:textId="77777777" w:rsidR="00817342" w:rsidRDefault="0002090D" w:rsidP="004845D9">
            <w:pPr>
              <w:spacing w:after="60"/>
              <w:jc w:val="both"/>
            </w:pPr>
            <w:r>
              <w:rPr>
                <w:color w:val="FFFFFF"/>
              </w:rPr>
              <w:t>Director's Office: 730 East Broad Street, Richmond, VA 23219</w:t>
            </w:r>
          </w:p>
          <w:p w14:paraId="35DD9A00" w14:textId="77777777" w:rsidR="00817342" w:rsidRDefault="0002090D" w:rsidP="004845D9">
            <w:pPr>
              <w:jc w:val="both"/>
            </w:pPr>
            <w:r>
              <w:rPr>
                <w:color w:val="FFFFFF"/>
              </w:rPr>
              <w:t>(available weekdays, 8:00 a.m. – 5:00 p.m.)</w:t>
            </w:r>
          </w:p>
        </w:tc>
      </w:tr>
    </w:tbl>
    <w:p w14:paraId="35DD9A02" w14:textId="77777777" w:rsidR="00817342" w:rsidRDefault="00817342" w:rsidP="004845D9">
      <w:pPr>
        <w:spacing w:after="100"/>
        <w:jc w:val="both"/>
      </w:pPr>
    </w:p>
    <w:p w14:paraId="35DD9A03" w14:textId="77777777" w:rsidR="00817342" w:rsidRDefault="0002090D" w:rsidP="004845D9">
      <w:pPr>
        <w:spacing w:before="120" w:after="120"/>
        <w:jc w:val="both"/>
      </w:pPr>
      <w:r>
        <w:rPr>
          <w:b/>
          <w:bCs/>
          <w:i/>
          <w:iCs/>
        </w:rPr>
        <w:t>Your participation in this process helps DPU serve Richmond better!</w:t>
      </w:r>
    </w:p>
    <w:p w14:paraId="35DD9A04" w14:textId="77777777" w:rsidR="00817342" w:rsidRDefault="0002090D" w:rsidP="004845D9">
      <w:pPr>
        <w:pBdr>
          <w:top w:val="single" w:sz="4" w:space="0" w:color="999999"/>
        </w:pBdr>
        <w:spacing w:before="80"/>
        <w:jc w:val="both"/>
      </w:pPr>
      <w:r>
        <w:rPr>
          <w:i/>
          <w:iCs/>
          <w:sz w:val="18"/>
          <w:szCs w:val="18"/>
        </w:rPr>
        <w:t>¹ This plain language guide is prepared in accordance with Section 2.02 of the Department of Public Utilities (DPU) Public Notice, Comment, and Hearing Procedures. The complete proposed regulation and additional information are available for public inspection as required by Richmond City Code Section 28-26.</w:t>
      </w:r>
    </w:p>
    <w:sectPr w:rsidR="00817342">
      <w:footerReference w:type="default" r:id="rId7"/>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7E8E" w14:textId="77777777" w:rsidR="006F645B" w:rsidRDefault="006F645B" w:rsidP="00C46359">
      <w:r>
        <w:separator/>
      </w:r>
    </w:p>
  </w:endnote>
  <w:endnote w:type="continuationSeparator" w:id="0">
    <w:p w14:paraId="1A29E283" w14:textId="77777777" w:rsidR="006F645B" w:rsidRDefault="006F645B" w:rsidP="00C4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683863"/>
      <w:docPartObj>
        <w:docPartGallery w:val="Page Numbers (Bottom of Page)"/>
        <w:docPartUnique/>
      </w:docPartObj>
    </w:sdtPr>
    <w:sdtEndPr/>
    <w:sdtContent>
      <w:sdt>
        <w:sdtPr>
          <w:id w:val="-1705238520"/>
          <w:docPartObj>
            <w:docPartGallery w:val="Page Numbers (Top of Page)"/>
            <w:docPartUnique/>
          </w:docPartObj>
        </w:sdtPr>
        <w:sdtEndPr/>
        <w:sdtContent>
          <w:p w14:paraId="300E2E6C" w14:textId="0E3541D7" w:rsidR="00C46359" w:rsidRDefault="00C46359" w:rsidP="00C463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4C2B92" w14:textId="77777777" w:rsidR="00C46359" w:rsidRDefault="00C46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33C1B" w14:textId="77777777" w:rsidR="006F645B" w:rsidRDefault="006F645B" w:rsidP="00C46359">
      <w:r>
        <w:separator/>
      </w:r>
    </w:p>
  </w:footnote>
  <w:footnote w:type="continuationSeparator" w:id="0">
    <w:p w14:paraId="237F2C8F" w14:textId="77777777" w:rsidR="006F645B" w:rsidRDefault="006F645B" w:rsidP="00C46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76A0"/>
    <w:multiLevelType w:val="hybridMultilevel"/>
    <w:tmpl w:val="06B6F54A"/>
    <w:lvl w:ilvl="0" w:tplc="B3D6C094">
      <w:start w:val="1"/>
      <w:numFmt w:val="bullet"/>
      <w:lvlText w:val="●"/>
      <w:lvlJc w:val="left"/>
      <w:pPr>
        <w:ind w:left="720" w:hanging="360"/>
      </w:pPr>
    </w:lvl>
    <w:lvl w:ilvl="1" w:tplc="7A6E3410">
      <w:start w:val="1"/>
      <w:numFmt w:val="bullet"/>
      <w:lvlText w:val="○"/>
      <w:lvlJc w:val="left"/>
      <w:pPr>
        <w:ind w:left="1440" w:hanging="360"/>
      </w:pPr>
    </w:lvl>
    <w:lvl w:ilvl="2" w:tplc="D6980030">
      <w:start w:val="1"/>
      <w:numFmt w:val="bullet"/>
      <w:lvlText w:val="■"/>
      <w:lvlJc w:val="left"/>
      <w:pPr>
        <w:ind w:left="2160" w:hanging="360"/>
      </w:pPr>
    </w:lvl>
    <w:lvl w:ilvl="3" w:tplc="8F7A9CD6">
      <w:start w:val="1"/>
      <w:numFmt w:val="bullet"/>
      <w:lvlText w:val="●"/>
      <w:lvlJc w:val="left"/>
      <w:pPr>
        <w:ind w:left="2880" w:hanging="360"/>
      </w:pPr>
    </w:lvl>
    <w:lvl w:ilvl="4" w:tplc="5B44A47E">
      <w:start w:val="1"/>
      <w:numFmt w:val="bullet"/>
      <w:lvlText w:val="○"/>
      <w:lvlJc w:val="left"/>
      <w:pPr>
        <w:ind w:left="3600" w:hanging="360"/>
      </w:pPr>
    </w:lvl>
    <w:lvl w:ilvl="5" w:tplc="EC0C1E10">
      <w:start w:val="1"/>
      <w:numFmt w:val="bullet"/>
      <w:lvlText w:val="■"/>
      <w:lvlJc w:val="left"/>
      <w:pPr>
        <w:ind w:left="4320" w:hanging="360"/>
      </w:pPr>
    </w:lvl>
    <w:lvl w:ilvl="6" w:tplc="C5EEE108">
      <w:start w:val="1"/>
      <w:numFmt w:val="bullet"/>
      <w:lvlText w:val="●"/>
      <w:lvlJc w:val="left"/>
      <w:pPr>
        <w:ind w:left="5040" w:hanging="360"/>
      </w:pPr>
    </w:lvl>
    <w:lvl w:ilvl="7" w:tplc="79A08D38">
      <w:start w:val="1"/>
      <w:numFmt w:val="bullet"/>
      <w:lvlText w:val="●"/>
      <w:lvlJc w:val="left"/>
      <w:pPr>
        <w:ind w:left="5760" w:hanging="360"/>
      </w:pPr>
    </w:lvl>
    <w:lvl w:ilvl="8" w:tplc="2F30A6AC">
      <w:start w:val="1"/>
      <w:numFmt w:val="bullet"/>
      <w:lvlText w:val="●"/>
      <w:lvlJc w:val="left"/>
      <w:pPr>
        <w:ind w:left="6480" w:hanging="360"/>
      </w:pPr>
    </w:lvl>
  </w:abstractNum>
  <w:abstractNum w:abstractNumId="1" w15:restartNumberingAfterBreak="0">
    <w:nsid w:val="676A0F4D"/>
    <w:multiLevelType w:val="hybridMultilevel"/>
    <w:tmpl w:val="5A1693A4"/>
    <w:lvl w:ilvl="0" w:tplc="A456EDA6">
      <w:start w:val="1"/>
      <w:numFmt w:val="bullet"/>
      <w:lvlText w:val="•"/>
      <w:lvlJc w:val="left"/>
      <w:pPr>
        <w:ind w:left="540" w:hanging="260"/>
      </w:pPr>
    </w:lvl>
    <w:lvl w:ilvl="1" w:tplc="C1AA257C">
      <w:numFmt w:val="decimal"/>
      <w:lvlText w:val=""/>
      <w:lvlJc w:val="left"/>
    </w:lvl>
    <w:lvl w:ilvl="2" w:tplc="59CA30C6">
      <w:numFmt w:val="decimal"/>
      <w:lvlText w:val=""/>
      <w:lvlJc w:val="left"/>
    </w:lvl>
    <w:lvl w:ilvl="3" w:tplc="838C300A">
      <w:numFmt w:val="decimal"/>
      <w:lvlText w:val=""/>
      <w:lvlJc w:val="left"/>
    </w:lvl>
    <w:lvl w:ilvl="4" w:tplc="3BD84910">
      <w:numFmt w:val="decimal"/>
      <w:lvlText w:val=""/>
      <w:lvlJc w:val="left"/>
    </w:lvl>
    <w:lvl w:ilvl="5" w:tplc="4F8AEA82">
      <w:numFmt w:val="decimal"/>
      <w:lvlText w:val=""/>
      <w:lvlJc w:val="left"/>
    </w:lvl>
    <w:lvl w:ilvl="6" w:tplc="4320A4FA">
      <w:numFmt w:val="decimal"/>
      <w:lvlText w:val=""/>
      <w:lvlJc w:val="left"/>
    </w:lvl>
    <w:lvl w:ilvl="7" w:tplc="826266BC">
      <w:numFmt w:val="decimal"/>
      <w:lvlText w:val=""/>
      <w:lvlJc w:val="left"/>
    </w:lvl>
    <w:lvl w:ilvl="8" w:tplc="BF0A7FDC">
      <w:numFmt w:val="decimal"/>
      <w:lvlText w:val=""/>
      <w:lvlJc w:val="left"/>
    </w:lvl>
  </w:abstractNum>
  <w:num w:numId="1" w16cid:durableId="1006786337">
    <w:abstractNumId w:val="0"/>
    <w:lvlOverride w:ilvl="0">
      <w:startOverride w:val="1"/>
    </w:lvlOverride>
  </w:num>
  <w:num w:numId="2" w16cid:durableId="7138959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342"/>
    <w:rsid w:val="0002090D"/>
    <w:rsid w:val="001F5505"/>
    <w:rsid w:val="002A50D5"/>
    <w:rsid w:val="002F2FF3"/>
    <w:rsid w:val="004149BA"/>
    <w:rsid w:val="004845D9"/>
    <w:rsid w:val="006B608F"/>
    <w:rsid w:val="006F645B"/>
    <w:rsid w:val="0077561A"/>
    <w:rsid w:val="00817342"/>
    <w:rsid w:val="008751D0"/>
    <w:rsid w:val="00935187"/>
    <w:rsid w:val="00982AF0"/>
    <w:rsid w:val="00996B00"/>
    <w:rsid w:val="009D4D30"/>
    <w:rsid w:val="00AF62F4"/>
    <w:rsid w:val="00BE2460"/>
    <w:rsid w:val="00C46359"/>
    <w:rsid w:val="00CE7EE9"/>
    <w:rsid w:val="00D35241"/>
    <w:rsid w:val="00E21B75"/>
    <w:rsid w:val="00F352E8"/>
    <w:rsid w:val="05D54EA9"/>
    <w:rsid w:val="2F22277E"/>
    <w:rsid w:val="652360BA"/>
    <w:rsid w:val="7306E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9946"/>
  <w15:docId w15:val="{E0DE5EFA-6F67-4943-8A8E-D168273B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46359"/>
    <w:pPr>
      <w:tabs>
        <w:tab w:val="center" w:pos="4680"/>
        <w:tab w:val="right" w:pos="9360"/>
      </w:tabs>
    </w:pPr>
  </w:style>
  <w:style w:type="character" w:customStyle="1" w:styleId="HeaderChar">
    <w:name w:val="Header Char"/>
    <w:basedOn w:val="DefaultParagraphFont"/>
    <w:link w:val="Header"/>
    <w:uiPriority w:val="99"/>
    <w:rsid w:val="00C46359"/>
  </w:style>
  <w:style w:type="paragraph" w:styleId="Footer">
    <w:name w:val="footer"/>
    <w:basedOn w:val="Normal"/>
    <w:link w:val="FooterChar"/>
    <w:uiPriority w:val="99"/>
    <w:unhideWhenUsed/>
    <w:rsid w:val="00C46359"/>
    <w:pPr>
      <w:tabs>
        <w:tab w:val="center" w:pos="4680"/>
        <w:tab w:val="right" w:pos="9360"/>
      </w:tabs>
    </w:pPr>
  </w:style>
  <w:style w:type="character" w:customStyle="1" w:styleId="FooterChar">
    <w:name w:val="Footer Char"/>
    <w:basedOn w:val="DefaultParagraphFont"/>
    <w:link w:val="Footer"/>
    <w:uiPriority w:val="99"/>
    <w:rsid w:val="00C46359"/>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E2460"/>
    <w:rPr>
      <w:b/>
      <w:bCs/>
    </w:rPr>
  </w:style>
  <w:style w:type="character" w:customStyle="1" w:styleId="CommentSubjectChar">
    <w:name w:val="Comment Subject Char"/>
    <w:basedOn w:val="CommentTextChar"/>
    <w:link w:val="CommentSubject"/>
    <w:uiPriority w:val="99"/>
    <w:semiHidden/>
    <w:rsid w:val="00BE24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f56d663-141b-4418-b66c-326033ab9ce1}" enabled="0" method="" siteId="{3f56d663-141b-4418-b66c-326033ab9ce1}" removed="1"/>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3298</Words>
  <Characters>18801</Characters>
  <Application>Microsoft Office Word</Application>
  <DocSecurity>0</DocSecurity>
  <Lines>156</Lines>
  <Paragraphs>44</Paragraphs>
  <ScaleCrop>false</ScaleCrop>
  <Company/>
  <LinksUpToDate>false</LinksUpToDate>
  <CharactersWithSpaces>22055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Crowell, Lee M. - DPU</cp:lastModifiedBy>
  <cp:revision>13</cp:revision>
  <dcterms:created xsi:type="dcterms:W3CDTF">2026-05-04T23:10:00Z</dcterms:created>
  <dcterms:modified xsi:type="dcterms:W3CDTF">2026-06-24T12:06:00Z</dcterms:modified>
</cp:coreProperties>
</file>