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A5A8" w14:textId="77777777" w:rsidR="00E27429" w:rsidRDefault="00534441" w:rsidP="00502157">
      <w:pPr>
        <w:pStyle w:val="Heading1"/>
        <w:spacing w:after="120"/>
        <w:jc w:val="center"/>
      </w:pPr>
      <w:r w:rsidRPr="00D8792B">
        <w:t xml:space="preserve">Frequently Asked Questions: </w:t>
      </w:r>
    </w:p>
    <w:p w14:paraId="4CADF54A" w14:textId="358EFADA" w:rsidR="000B318C" w:rsidRPr="00D8792B" w:rsidRDefault="00534441" w:rsidP="00502157">
      <w:pPr>
        <w:pStyle w:val="Heading1"/>
        <w:spacing w:after="120"/>
        <w:jc w:val="center"/>
      </w:pPr>
      <w:r w:rsidRPr="00D8792B">
        <w:t xml:space="preserve">New Electric Utilities </w:t>
      </w:r>
      <w:r w:rsidR="00E27429">
        <w:t>Regulations</w:t>
      </w:r>
      <w:r w:rsidRPr="00D8792B">
        <w:t xml:space="preserve"> for </w:t>
      </w:r>
      <w:r w:rsidR="00E27429">
        <w:t xml:space="preserve">City of </w:t>
      </w:r>
      <w:r w:rsidRPr="00D8792B">
        <w:t>Richmond</w:t>
      </w:r>
    </w:p>
    <w:p w14:paraId="4CADF54B" w14:textId="77777777" w:rsidR="000B318C" w:rsidRPr="00D8792B" w:rsidRDefault="000B318C" w:rsidP="00502157">
      <w:pPr>
        <w:spacing w:after="120"/>
        <w:jc w:val="both"/>
        <w:rPr>
          <w:rFonts w:ascii="Times New Roman" w:hAnsi="Times New Roman" w:cs="Times New Roman"/>
          <w:sz w:val="24"/>
          <w:szCs w:val="24"/>
        </w:rPr>
      </w:pPr>
    </w:p>
    <w:p w14:paraId="4CADF54C" w14:textId="77777777" w:rsidR="000B318C" w:rsidRPr="00D8792B" w:rsidRDefault="00534441" w:rsidP="00502157">
      <w:pPr>
        <w:pStyle w:val="Heading1"/>
        <w:spacing w:after="120"/>
      </w:pPr>
      <w:r w:rsidRPr="00D8792B">
        <w:t>1. What is this new regulation about?</w:t>
      </w:r>
    </w:p>
    <w:p w14:paraId="4CADF54E" w14:textId="72BC459F"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sz w:val="24"/>
          <w:szCs w:val="24"/>
        </w:rPr>
        <w:t>This regulation establishes clear, uniform rules for how the Department of Public Utilities (DPU) manages the City of Richmond's electric utility program. It covers the maintenance of records on electric infrastructure, construction and safety standards for electrical work in City streets, inspection authority, the process for resolving disputes when multiple parties want to share utility poles, permits for wireless facilities on City poles, the use of festival outlet connections on street lighting poles, and the formal arrangement under which DPU delegates day-to-day electric operations to the Department of Public Works (DPW). The goal is to ensure the City's electric and street lighting infrastructure is managed safely, consistently, and in accordance with applicable federal, state, and local law.</w:t>
      </w:r>
    </w:p>
    <w:p w14:paraId="4CADF54F" w14:textId="77777777" w:rsidR="000B318C" w:rsidRPr="00D8792B" w:rsidRDefault="00534441" w:rsidP="00502157">
      <w:pPr>
        <w:pStyle w:val="Heading1"/>
        <w:spacing w:after="120"/>
      </w:pPr>
      <w:r w:rsidRPr="00D8792B">
        <w:t>2. Who does this regulation apply to?</w:t>
      </w:r>
    </w:p>
    <w:p w14:paraId="4CADF550"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sz w:val="24"/>
          <w:szCs w:val="24"/>
        </w:rPr>
        <w:t xml:space="preserve">The regulation primarily applies to: electrical contractors performing work on or near City utility infrastructure; companies and telecommunications providers that attach their wires or equipment to City-owned poles (pole </w:t>
      </w:r>
      <w:proofErr w:type="spellStart"/>
      <w:r w:rsidRPr="00D8792B">
        <w:rPr>
          <w:rFonts w:ascii="Times New Roman" w:hAnsi="Times New Roman" w:cs="Times New Roman"/>
          <w:sz w:val="24"/>
          <w:szCs w:val="24"/>
        </w:rPr>
        <w:t>attachers</w:t>
      </w:r>
      <w:proofErr w:type="spellEnd"/>
      <w:r w:rsidRPr="00D8792B">
        <w:rPr>
          <w:rFonts w:ascii="Times New Roman" w:hAnsi="Times New Roman" w:cs="Times New Roman"/>
          <w:sz w:val="24"/>
          <w:szCs w:val="24"/>
        </w:rPr>
        <w:t>); wireless service providers seeking to install antennas or small cell equipment on City poles; and the Department of Public Works, which manages day-to-day electric operations under a delegation from the Director of Public Utilities. Members of the public who are interested in how Richmond's electric and street lighting systems are managed, or who are affected by inspection or enforcement decisions, will also find this regulation relevant.</w:t>
      </w:r>
    </w:p>
    <w:p w14:paraId="4CADF552" w14:textId="77777777" w:rsidR="000B318C" w:rsidRPr="00D8792B" w:rsidRDefault="00534441" w:rsidP="00502157">
      <w:pPr>
        <w:pStyle w:val="Heading1"/>
        <w:spacing w:after="120"/>
      </w:pPr>
      <w:r w:rsidRPr="00D8792B">
        <w:t>3. What records does DPU keep on City electric infrastructure, and who can access them?</w:t>
      </w:r>
    </w:p>
    <w:p w14:paraId="4CADF554" w14:textId="5272BE11" w:rsidR="000B318C" w:rsidRPr="00D8792B" w:rsidRDefault="00534441" w:rsidP="00502157">
      <w:pPr>
        <w:spacing w:after="120"/>
        <w:jc w:val="both"/>
        <w:rPr>
          <w:rFonts w:ascii="Times New Roman" w:hAnsi="Times New Roman" w:cs="Times New Roman"/>
          <w:sz w:val="24"/>
          <w:szCs w:val="24"/>
        </w:rPr>
      </w:pPr>
      <w:r w:rsidRPr="1A40F426">
        <w:rPr>
          <w:rFonts w:ascii="Times New Roman" w:hAnsi="Times New Roman" w:cs="Times New Roman"/>
          <w:sz w:val="24"/>
          <w:szCs w:val="24"/>
        </w:rPr>
        <w:t>City Code requires DPU to maintain suitable records of all electric wiring, poles, streetlights, and other electric utility facilities. The regulation formalizes this by requiring a comprehensive inventory with GPS</w:t>
      </w:r>
      <w:r w:rsidR="00374B1F">
        <w:rPr>
          <w:rFonts w:ascii="Times New Roman" w:hAnsi="Times New Roman" w:cs="Times New Roman"/>
          <w:sz w:val="24"/>
          <w:szCs w:val="24"/>
        </w:rPr>
        <w:t xml:space="preserve">. </w:t>
      </w:r>
      <w:r w:rsidRPr="1A40F426">
        <w:rPr>
          <w:rFonts w:ascii="Times New Roman" w:hAnsi="Times New Roman" w:cs="Times New Roman"/>
          <w:sz w:val="24"/>
          <w:szCs w:val="24"/>
        </w:rPr>
        <w:t>General public records requests are handled under the Virginia Freedom of Information Act (FOIA). Some infrastructure records may be withheld under the critical infrastructure exemption.</w:t>
      </w:r>
    </w:p>
    <w:p w14:paraId="4CADF555" w14:textId="77777777" w:rsidR="000B318C" w:rsidRPr="00D8792B" w:rsidRDefault="00534441" w:rsidP="00502157">
      <w:pPr>
        <w:pStyle w:val="Heading1"/>
        <w:spacing w:after="120"/>
      </w:pPr>
      <w:r w:rsidRPr="00D8792B">
        <w:t>4. What safety and qualification standards apply to electrical work on City infrastructure?</w:t>
      </w:r>
    </w:p>
    <w:p w14:paraId="73B1BB62" w14:textId="2984D53F" w:rsidR="005B7D30" w:rsidRDefault="00534441" w:rsidP="00502157">
      <w:pPr>
        <w:spacing w:after="120"/>
        <w:jc w:val="both"/>
        <w:rPr>
          <w:color w:val="2E74B5"/>
          <w:sz w:val="32"/>
          <w:szCs w:val="32"/>
        </w:rPr>
      </w:pPr>
      <w:r w:rsidRPr="00D8792B">
        <w:rPr>
          <w:rFonts w:ascii="Times New Roman" w:hAnsi="Times New Roman" w:cs="Times New Roman"/>
          <w:sz w:val="24"/>
          <w:szCs w:val="24"/>
        </w:rPr>
        <w:t>All electrical construction and maintenance involving City electric utility facilities must comply with the National Electric Safety Code (NESC 2023) and National Electrical Code (NEC 2023). Contractors must hold a Virginia Class A electrical contractor license. Journeyman linemen need a four-year apprenticeship or equivalent documented experience; journeyman electricians need at least 4 years or 8,000 hours of on-the-job training; and master electricians must have 12,000 or more hours of experience. All personnel working on or near City electrical equipment must hold current NFPA 70E 2024 Electrical Safety in the Workplace certification, which is valid for three years with annual refresher training required. Contractors must also carry general liability insurance of at least $1,000,000 per occurrence and $2,000,000 aggregate.</w:t>
      </w:r>
      <w:r w:rsidR="005B7D30">
        <w:br w:type="page"/>
      </w:r>
    </w:p>
    <w:p w14:paraId="4CADF558" w14:textId="02117B3E" w:rsidR="000B318C" w:rsidRPr="00D8792B" w:rsidRDefault="00641B15" w:rsidP="00502157">
      <w:pPr>
        <w:pStyle w:val="Heading1"/>
        <w:spacing w:after="120"/>
      </w:pPr>
      <w:r>
        <w:lastRenderedPageBreak/>
        <w:t>5</w:t>
      </w:r>
      <w:r w:rsidR="00534441" w:rsidRPr="00D8792B">
        <w:t>. Can I attach my company's equipment to a City utility pole?</w:t>
      </w:r>
    </w:p>
    <w:p w14:paraId="4CADF559" w14:textId="788B850C" w:rsidR="000B318C" w:rsidRPr="00411BCE" w:rsidRDefault="00534441" w:rsidP="00502157">
      <w:pPr>
        <w:spacing w:after="120"/>
        <w:jc w:val="both"/>
        <w:rPr>
          <w:rFonts w:ascii="Times New Roman" w:hAnsi="Times New Roman" w:cs="Times New Roman"/>
          <w:sz w:val="24"/>
          <w:szCs w:val="24"/>
        </w:rPr>
      </w:pPr>
      <w:r w:rsidRPr="00411BCE">
        <w:rPr>
          <w:rFonts w:ascii="Times New Roman" w:hAnsi="Times New Roman" w:cs="Times New Roman"/>
          <w:sz w:val="24"/>
          <w:szCs w:val="24"/>
        </w:rPr>
        <w:t xml:space="preserve">Yes, with DPU approval. City Code Section 28-862 allows persons to apply to the owner of existing poles for permission to install their wires or cables. Applicants must submit a </w:t>
      </w:r>
      <w:r w:rsidR="42CDE2D8" w:rsidRPr="00411BCE">
        <w:rPr>
          <w:rFonts w:ascii="Times New Roman" w:hAnsi="Times New Roman" w:cs="Times New Roman"/>
          <w:sz w:val="24"/>
          <w:szCs w:val="24"/>
        </w:rPr>
        <w:t>pole attachment</w:t>
      </w:r>
      <w:r w:rsidRPr="00411BCE">
        <w:rPr>
          <w:rFonts w:ascii="Times New Roman" w:hAnsi="Times New Roman" w:cs="Times New Roman"/>
          <w:sz w:val="24"/>
          <w:szCs w:val="24"/>
        </w:rPr>
        <w:t xml:space="preserve"> agreement application that includes technical specifications, a structural capacity analysis, NESC 2023 compliance documentation, proof of insurance (minimum $3,000,000 per occurrence and $5,000,000 aggregate, with the City named as an additional insured), qualified contractor certifications, and as-built drawings. DPU will review the application and enter a 60-day good faith negotiation period before any formal dispute procedures are triggered.</w:t>
      </w:r>
    </w:p>
    <w:p w14:paraId="4CADF55B" w14:textId="77777777" w:rsidR="000B318C" w:rsidRPr="00D8792B" w:rsidRDefault="00534441" w:rsidP="00502157">
      <w:pPr>
        <w:pStyle w:val="Heading1"/>
        <w:spacing w:after="120"/>
      </w:pPr>
      <w:r w:rsidRPr="00D8792B">
        <w:t>6. What happens if DPU and I can't agree on pole attachment terms?</w:t>
      </w:r>
    </w:p>
    <w:p w14:paraId="4CADF55D" w14:textId="78628994"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sz w:val="24"/>
          <w:szCs w:val="24"/>
        </w:rPr>
        <w:t xml:space="preserve">If the parties cannot reach agreement within the 60-day negotiation period, the Director may require the pole owner to allow joint use at terms fixed by </w:t>
      </w:r>
      <w:proofErr w:type="gramStart"/>
      <w:r w:rsidRPr="00D8792B">
        <w:rPr>
          <w:rFonts w:ascii="Times New Roman" w:hAnsi="Times New Roman" w:cs="Times New Roman"/>
          <w:sz w:val="24"/>
          <w:szCs w:val="24"/>
        </w:rPr>
        <w:t>a Board</w:t>
      </w:r>
      <w:proofErr w:type="gramEnd"/>
      <w:r w:rsidRPr="00D8792B">
        <w:rPr>
          <w:rFonts w:ascii="Times New Roman" w:hAnsi="Times New Roman" w:cs="Times New Roman"/>
          <w:sz w:val="24"/>
          <w:szCs w:val="24"/>
        </w:rPr>
        <w:t xml:space="preserve"> of Arbitration. Each party appoints one arbitrator; those two select a third. If arbitrators are not selected within 15 days (or the third within 30 days), the Director may appoint them. The majority decision of the Board is final and binding. Arbitration costs are split equally unless the Board decides otherwise. While arbitration is pending, the Director may allow interim use of the facilities if the applicant provides a suitable bond. Arbitration decisions may be appealed under the Virginia Uniform Arbitration Act.</w:t>
      </w:r>
    </w:p>
    <w:p w14:paraId="4CADF55E" w14:textId="77777777" w:rsidR="000B318C" w:rsidRPr="00D8792B" w:rsidRDefault="00534441" w:rsidP="00502157">
      <w:pPr>
        <w:pStyle w:val="Heading1"/>
        <w:spacing w:after="120"/>
      </w:pPr>
      <w:r w:rsidRPr="00D8792B">
        <w:t>7. How do I apply for a permit to place wireless facilities on City utility poles?</w:t>
      </w:r>
    </w:p>
    <w:p w14:paraId="4CADF560" w14:textId="78D6FEE4" w:rsidR="000B318C" w:rsidRPr="00411BCE" w:rsidRDefault="00534441" w:rsidP="00502157">
      <w:pPr>
        <w:spacing w:after="120"/>
        <w:jc w:val="both"/>
        <w:rPr>
          <w:rFonts w:ascii="Times New Roman" w:hAnsi="Times New Roman" w:cs="Times New Roman"/>
          <w:sz w:val="24"/>
          <w:szCs w:val="24"/>
        </w:rPr>
      </w:pPr>
      <w:r w:rsidRPr="00411BCE">
        <w:rPr>
          <w:rFonts w:ascii="Times New Roman" w:hAnsi="Times New Roman" w:cs="Times New Roman"/>
          <w:sz w:val="24"/>
          <w:szCs w:val="24"/>
        </w:rPr>
        <w:t xml:space="preserve">DPU is authorized by City Code Section 28-889 to issue permits to wireless service providers for the attachment of wireless facilities — such as small cell antennas — to City utility poles. Applications are submitted </w:t>
      </w:r>
      <w:r w:rsidR="7AA98364" w:rsidRPr="00411BCE">
        <w:rPr>
          <w:rFonts w:ascii="Times New Roman" w:hAnsi="Times New Roman" w:cs="Times New Roman"/>
          <w:sz w:val="24"/>
          <w:szCs w:val="24"/>
        </w:rPr>
        <w:t>electronica</w:t>
      </w:r>
      <w:r w:rsidR="137137FE" w:rsidRPr="00411BCE">
        <w:rPr>
          <w:rFonts w:ascii="Times New Roman" w:hAnsi="Times New Roman" w:cs="Times New Roman"/>
          <w:sz w:val="24"/>
          <w:szCs w:val="24"/>
        </w:rPr>
        <w:t>l</w:t>
      </w:r>
      <w:r w:rsidR="7AA98364" w:rsidRPr="00411BCE">
        <w:rPr>
          <w:rFonts w:ascii="Times New Roman" w:hAnsi="Times New Roman" w:cs="Times New Roman"/>
          <w:sz w:val="24"/>
          <w:szCs w:val="24"/>
        </w:rPr>
        <w:t xml:space="preserve">ly </w:t>
      </w:r>
      <w:r w:rsidRPr="00411BCE">
        <w:rPr>
          <w:rFonts w:ascii="Times New Roman" w:hAnsi="Times New Roman" w:cs="Times New Roman"/>
          <w:sz w:val="24"/>
          <w:szCs w:val="24"/>
        </w:rPr>
        <w:t xml:space="preserve">through </w:t>
      </w:r>
      <w:r w:rsidR="147B4ADE" w:rsidRPr="00411BCE">
        <w:rPr>
          <w:rFonts w:ascii="Times New Roman" w:hAnsi="Times New Roman" w:cs="Times New Roman"/>
          <w:sz w:val="24"/>
          <w:szCs w:val="24"/>
        </w:rPr>
        <w:t>DPW\</w:t>
      </w:r>
      <w:r w:rsidRPr="00411BCE">
        <w:rPr>
          <w:rFonts w:ascii="Times New Roman" w:hAnsi="Times New Roman" w:cs="Times New Roman"/>
          <w:sz w:val="24"/>
          <w:szCs w:val="24"/>
        </w:rPr>
        <w:t xml:space="preserve">DPU's </w:t>
      </w:r>
      <w:r w:rsidR="2C0F4BF6" w:rsidRPr="00411BCE">
        <w:rPr>
          <w:rFonts w:ascii="Times New Roman" w:hAnsi="Times New Roman" w:cs="Times New Roman"/>
          <w:sz w:val="24"/>
          <w:szCs w:val="24"/>
        </w:rPr>
        <w:t>staff</w:t>
      </w:r>
      <w:r w:rsidRPr="00411BCE">
        <w:rPr>
          <w:rFonts w:ascii="Times New Roman" w:hAnsi="Times New Roman" w:cs="Times New Roman"/>
          <w:sz w:val="24"/>
          <w:szCs w:val="24"/>
        </w:rPr>
        <w:t xml:space="preserve"> and must include a site plan, structural capacity analysis, RF compliance documentation per FCC standards, insurance certificates, NESC 2023 clearance documentation, and all items required by City Code Section 28-891. Within 10 days of receipt, DPU will notify the applicant whether the application is complete. If DPU does not notify the applicant within 10 days, the application is deemed complete. Applicants have 30 days to cure any identified deficiencies.</w:t>
      </w:r>
    </w:p>
    <w:p w14:paraId="4CADF561" w14:textId="77777777" w:rsidR="000B318C" w:rsidRPr="00D8792B" w:rsidRDefault="00534441" w:rsidP="00502157">
      <w:pPr>
        <w:pStyle w:val="Heading1"/>
        <w:spacing w:after="120"/>
      </w:pPr>
      <w:r w:rsidRPr="00D8792B">
        <w:t xml:space="preserve">8. How long does DPU </w:t>
      </w:r>
      <w:proofErr w:type="gramStart"/>
      <w:r w:rsidRPr="00D8792B">
        <w:t>have</w:t>
      </w:r>
      <w:proofErr w:type="gramEnd"/>
      <w:r w:rsidRPr="00D8792B">
        <w:t xml:space="preserve"> to act on my wireless facility permit application?</w:t>
      </w:r>
    </w:p>
    <w:p w14:paraId="4CADF563" w14:textId="26A8BD61" w:rsidR="000B318C" w:rsidRPr="00411BCE" w:rsidRDefault="00534441" w:rsidP="1A40F426">
      <w:pPr>
        <w:spacing w:after="120"/>
        <w:jc w:val="both"/>
        <w:rPr>
          <w:rFonts w:ascii="Times New Roman" w:hAnsi="Times New Roman" w:cs="Times New Roman"/>
          <w:sz w:val="24"/>
          <w:szCs w:val="24"/>
        </w:rPr>
      </w:pPr>
      <w:r w:rsidRPr="00411BCE">
        <w:rPr>
          <w:rFonts w:ascii="Times New Roman" w:hAnsi="Times New Roman" w:cs="Times New Roman"/>
          <w:sz w:val="24"/>
          <w:szCs w:val="24"/>
        </w:rPr>
        <w:t>Federal law establishes shot clock deadlines that DPU must meet. Once an application is complete, DPU must act within 60 days for collocation of small wireless facilities on existing structures; 90 days for collocation on new structures or deployment of small wireless facilities using new structures; and 150 days for deployment of non-small wireless facilities using new structures. If DPU does not act within the applicable deadline, the application is deemed approved. Shot clocks are paused while an application remains incomplete. All denials must be in writing with specific reasons referenced to applicable law and published criteria.</w:t>
      </w:r>
    </w:p>
    <w:p w14:paraId="4CADF564" w14:textId="77777777" w:rsidR="000B318C" w:rsidRPr="00D8792B" w:rsidRDefault="00534441" w:rsidP="00502157">
      <w:pPr>
        <w:pStyle w:val="Heading1"/>
        <w:spacing w:after="120"/>
      </w:pPr>
      <w:r w:rsidRPr="00D8792B">
        <w:t>9. What does DPU do if it finds electrical equipment in City streets that is not up to code?</w:t>
      </w:r>
    </w:p>
    <w:p w14:paraId="4CADF566" w14:textId="25FD2B7A" w:rsidR="000B318C" w:rsidRPr="00D8792B" w:rsidRDefault="00534441" w:rsidP="00502157">
      <w:pPr>
        <w:spacing w:after="120"/>
        <w:jc w:val="both"/>
        <w:rPr>
          <w:rFonts w:ascii="Times New Roman" w:hAnsi="Times New Roman" w:cs="Times New Roman"/>
          <w:sz w:val="24"/>
          <w:szCs w:val="24"/>
        </w:rPr>
      </w:pPr>
      <w:r w:rsidRPr="1B77ECA3">
        <w:rPr>
          <w:rFonts w:ascii="Times New Roman" w:hAnsi="Times New Roman" w:cs="Times New Roman"/>
          <w:sz w:val="24"/>
          <w:szCs w:val="24"/>
        </w:rPr>
        <w:t xml:space="preserve">City Code grants the Director authority to inspect all electrical work and equipment in, over, or under City streets at any time. Safety-related inspection requests are given priority and are initiated within 48 hours. If the Director finds a problem, DPU issues a written designation to the equipment </w:t>
      </w:r>
      <w:proofErr w:type="spellStart"/>
      <w:proofErr w:type="gramStart"/>
      <w:r w:rsidRPr="1B77ECA3">
        <w:rPr>
          <w:rFonts w:ascii="Times New Roman" w:hAnsi="Times New Roman" w:cs="Times New Roman"/>
          <w:sz w:val="24"/>
          <w:szCs w:val="24"/>
        </w:rPr>
        <w:t>owneridentifying</w:t>
      </w:r>
      <w:proofErr w:type="spellEnd"/>
      <w:proofErr w:type="gramEnd"/>
      <w:r w:rsidRPr="1B77ECA3">
        <w:rPr>
          <w:rFonts w:ascii="Times New Roman" w:hAnsi="Times New Roman" w:cs="Times New Roman"/>
          <w:sz w:val="24"/>
          <w:szCs w:val="24"/>
        </w:rPr>
        <w:t xml:space="preserve"> the specific code violations, citing applicable standards, setting a compliance timeline based on severity, and specifying the consequences of non-compliance. The equipment owner is required </w:t>
      </w:r>
      <w:r w:rsidRPr="1B77ECA3">
        <w:rPr>
          <w:rFonts w:ascii="Times New Roman" w:hAnsi="Times New Roman" w:cs="Times New Roman"/>
          <w:sz w:val="24"/>
          <w:szCs w:val="24"/>
        </w:rPr>
        <w:lastRenderedPageBreak/>
        <w:t>to immediately proceed with the alterations or removals designated by the Director. Cost estimates for required work are valid for 30 days and are available upon request.</w:t>
      </w:r>
    </w:p>
    <w:p w14:paraId="4CADF567" w14:textId="77777777" w:rsidR="000B318C" w:rsidRPr="00D8792B" w:rsidRDefault="00534441" w:rsidP="00502157">
      <w:pPr>
        <w:pStyle w:val="Heading1"/>
        <w:spacing w:after="120"/>
      </w:pPr>
      <w:r w:rsidRPr="00D8792B">
        <w:t>10. Who manages day-to-day electric utility operations, and what does DPU still control?</w:t>
      </w:r>
    </w:p>
    <w:p w14:paraId="4CADF569" w14:textId="1E6BC464" w:rsidR="000B318C" w:rsidRPr="00D8594F" w:rsidRDefault="00534441" w:rsidP="00502157">
      <w:pPr>
        <w:spacing w:after="120"/>
        <w:jc w:val="both"/>
        <w:rPr>
          <w:rFonts w:ascii="Times New Roman" w:hAnsi="Times New Roman" w:cs="Times New Roman"/>
          <w:sz w:val="24"/>
          <w:szCs w:val="24"/>
        </w:rPr>
      </w:pPr>
      <w:r w:rsidRPr="00D8594F">
        <w:rPr>
          <w:rFonts w:ascii="Times New Roman" w:hAnsi="Times New Roman" w:cs="Times New Roman"/>
          <w:sz w:val="24"/>
          <w:szCs w:val="24"/>
        </w:rPr>
        <w:t>Section 9 of the regulation formalizes an operational arrangement under which the Director of Public Utilities delegates day-to-day electric utility operations — including field maintenance, construction, emergency response, contractor oversight, and permit issuance — to the Director of Public Works. However, the Director of Public Utilities retains exclusive authority over the electric utility budget and rate-setting recommendations (City Charter §§ 13.06 and 13.09), pole attachment and underground wire fees (City Code §§ 28-866 and 28-867), warehousing and procurement, all rules and regulations, and regulatory compliance reporting. DPW must provide structured operational reports to DPU on a daily (during emergencies), monthly, quarterly, and annual basis.</w:t>
      </w:r>
    </w:p>
    <w:p w14:paraId="4CADF56A" w14:textId="77777777" w:rsidR="000B318C" w:rsidRPr="00D8792B" w:rsidRDefault="00534441" w:rsidP="00502157">
      <w:pPr>
        <w:pStyle w:val="Heading1"/>
        <w:spacing w:after="120"/>
      </w:pPr>
      <w:r w:rsidRPr="00D8792B">
        <w:t>11. How do I appeal a DPU decision under this regulation?</w:t>
      </w:r>
    </w:p>
    <w:p w14:paraId="4CADF56C" w14:textId="7CE25475"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sz w:val="24"/>
          <w:szCs w:val="24"/>
        </w:rPr>
        <w:t>Any person aggrieved by a Director's decision may file a written appeal with the Chief Administrative Officer within 30 days of receiving written notice of the decision. The appeal must identify the specific grounds for disagreement and include supporting documentation. The Chief Administrative Officer (or designee) will conduct a de novo review and issue a written decision with findings of fact and conclusions of law within 45 days of a complete filing. If still dissatisfied, you may appeal to City Council within 30 days of the Chief Administrative Officer's decision, with final appeal rights preserved under Virginia law. For decisions involving immediate safety hazards or service interruptions, an expedited appeal process is available with a decision required within 5 business days.</w:t>
      </w:r>
    </w:p>
    <w:p w14:paraId="4CADF56D" w14:textId="77777777" w:rsidR="000B318C" w:rsidRPr="00D8792B" w:rsidRDefault="00534441" w:rsidP="00502157">
      <w:pPr>
        <w:pStyle w:val="Heading1"/>
        <w:spacing w:after="120"/>
      </w:pPr>
      <w:r w:rsidRPr="00D8792B">
        <w:t>12. When do these new rules take effect, and how will I learn more?</w:t>
      </w:r>
    </w:p>
    <w:p w14:paraId="4CADF56E"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sz w:val="24"/>
          <w:szCs w:val="24"/>
        </w:rPr>
        <w:t>The regulation takes effect upon adoption by the Director and filing in accordance with Richmond City Code Section 28-26. Before adoption, DPU will publish notice, hold a public hearing, and make the full regulation text available for public review and comment. Existing permits remain valid through their current terms until renewal. Existing joint use agreements remain valid but may be updated upon renewal. For contractors and electric utility personnel, updated training and certification requirements will be phased in over 180 days from the adoption date. Check the DPU website or contact DPU directly for updates on the adoption timeline and public hearing schedule.</w:t>
      </w:r>
    </w:p>
    <w:p w14:paraId="4CADF56F" w14:textId="77777777" w:rsidR="000B318C" w:rsidRPr="00D8792B" w:rsidRDefault="000B318C" w:rsidP="00502157">
      <w:pPr>
        <w:spacing w:after="120"/>
        <w:jc w:val="both"/>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B318C" w:rsidRPr="00D8792B" w14:paraId="4CADF575" w14:textId="77777777">
        <w:tc>
          <w:tcPr>
            <w:tcW w:w="0" w:type="auto"/>
            <w:tcBorders>
              <w:top w:val="single" w:sz="12" w:space="0" w:color="1F3864"/>
              <w:left w:val="single" w:sz="12" w:space="0" w:color="1F3864"/>
              <w:bottom w:val="single" w:sz="12" w:space="0" w:color="1F3864"/>
              <w:right w:val="single" w:sz="12" w:space="0" w:color="1F3864"/>
            </w:tcBorders>
            <w:shd w:val="clear" w:color="auto" w:fill="1F3864"/>
            <w:tcMar>
              <w:top w:w="120" w:type="dxa"/>
              <w:left w:w="200" w:type="dxa"/>
              <w:bottom w:w="120" w:type="dxa"/>
              <w:right w:w="200" w:type="dxa"/>
            </w:tcMar>
          </w:tcPr>
          <w:p w14:paraId="4CADF570"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b/>
                <w:bCs/>
                <w:color w:val="FFFFFF"/>
                <w:sz w:val="24"/>
                <w:szCs w:val="24"/>
              </w:rPr>
              <w:t>For Questions About This Proposed Regulation:</w:t>
            </w:r>
          </w:p>
          <w:p w14:paraId="4CADF571"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color w:val="FFFFFF"/>
                <w:sz w:val="24"/>
                <w:szCs w:val="24"/>
              </w:rPr>
              <w:t>Call: (804) 646-5209     Email: Lee.Crowell@RVA.Gov</w:t>
            </w:r>
          </w:p>
          <w:p w14:paraId="4CADF572"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color w:val="FFFFFF"/>
                <w:sz w:val="24"/>
                <w:szCs w:val="24"/>
              </w:rPr>
              <w:t>Website: https://www.rva.gov/public-utilities/rulesandregulations</w:t>
            </w:r>
          </w:p>
          <w:p w14:paraId="4CADF573"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color w:val="FFFFFF"/>
                <w:sz w:val="24"/>
                <w:szCs w:val="24"/>
              </w:rPr>
              <w:t>Director's Office: 730 East Broad Street, Richmond, VA 23219</w:t>
            </w:r>
          </w:p>
          <w:p w14:paraId="4CADF574"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color w:val="FFFFFF"/>
                <w:sz w:val="24"/>
                <w:szCs w:val="24"/>
              </w:rPr>
              <w:t>(available weekdays, 8:00 a.m. – 5:00 p.m.)</w:t>
            </w:r>
          </w:p>
        </w:tc>
      </w:tr>
    </w:tbl>
    <w:p w14:paraId="4CADF576" w14:textId="77777777" w:rsidR="000B318C" w:rsidRPr="00D8792B" w:rsidRDefault="000B318C" w:rsidP="00502157">
      <w:pPr>
        <w:spacing w:after="120"/>
        <w:jc w:val="both"/>
        <w:rPr>
          <w:rFonts w:ascii="Times New Roman" w:hAnsi="Times New Roman" w:cs="Times New Roman"/>
          <w:sz w:val="24"/>
          <w:szCs w:val="24"/>
        </w:rPr>
      </w:pPr>
    </w:p>
    <w:p w14:paraId="4CADF577" w14:textId="77777777" w:rsidR="000B318C" w:rsidRPr="00D8792B" w:rsidRDefault="00534441" w:rsidP="00502157">
      <w:pPr>
        <w:spacing w:after="120"/>
        <w:jc w:val="both"/>
        <w:rPr>
          <w:rFonts w:ascii="Times New Roman" w:hAnsi="Times New Roman" w:cs="Times New Roman"/>
          <w:sz w:val="24"/>
          <w:szCs w:val="24"/>
        </w:rPr>
      </w:pPr>
      <w:r w:rsidRPr="00D8792B">
        <w:rPr>
          <w:rFonts w:ascii="Times New Roman" w:hAnsi="Times New Roman" w:cs="Times New Roman"/>
          <w:b/>
          <w:bCs/>
          <w:i/>
          <w:iCs/>
          <w:sz w:val="24"/>
          <w:szCs w:val="24"/>
        </w:rPr>
        <w:t>Your participation in this process helps DPU serve Richmond better!</w:t>
      </w:r>
    </w:p>
    <w:p w14:paraId="4CADF578" w14:textId="77777777" w:rsidR="000B318C" w:rsidRPr="00D8792B" w:rsidRDefault="00534441" w:rsidP="00502157">
      <w:pPr>
        <w:pBdr>
          <w:top w:val="single" w:sz="4" w:space="0" w:color="999999"/>
        </w:pBdr>
        <w:spacing w:after="120"/>
        <w:jc w:val="both"/>
        <w:rPr>
          <w:rFonts w:ascii="Times New Roman" w:hAnsi="Times New Roman" w:cs="Times New Roman"/>
          <w:sz w:val="24"/>
          <w:szCs w:val="24"/>
        </w:rPr>
      </w:pPr>
      <w:r w:rsidRPr="00D8792B">
        <w:rPr>
          <w:rFonts w:ascii="Times New Roman" w:hAnsi="Times New Roman" w:cs="Times New Roman"/>
          <w:i/>
          <w:iCs/>
          <w:sz w:val="24"/>
          <w:szCs w:val="24"/>
        </w:rPr>
        <w:t>¹ This FAQ is prepared in accordance with Section 2.02 of the Department of Public Utilities (DPU) Public Notice, Comment, and Hearing Procedures. The complete proposed regulation and additional information are available for public inspection as required by Richmond City Code Section 28-26.</w:t>
      </w:r>
    </w:p>
    <w:sectPr w:rsidR="000B318C" w:rsidRPr="00D8792B" w:rsidSect="00254EEE">
      <w:footerReference w:type="default" r:id="rId7"/>
      <w:pgSz w:w="12240" w:h="15840"/>
      <w:pgMar w:top="1152" w:right="1152" w:bottom="1152"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B2B6" w14:textId="77777777" w:rsidR="0035367D" w:rsidRDefault="0035367D" w:rsidP="00641B15">
      <w:r>
        <w:separator/>
      </w:r>
    </w:p>
  </w:endnote>
  <w:endnote w:type="continuationSeparator" w:id="0">
    <w:p w14:paraId="5DEE06D6" w14:textId="77777777" w:rsidR="0035367D" w:rsidRDefault="0035367D" w:rsidP="0064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07335"/>
      <w:docPartObj>
        <w:docPartGallery w:val="Page Numbers (Bottom of Page)"/>
        <w:docPartUnique/>
      </w:docPartObj>
    </w:sdtPr>
    <w:sdtEndPr/>
    <w:sdtContent>
      <w:sdt>
        <w:sdtPr>
          <w:id w:val="-1705238520"/>
          <w:docPartObj>
            <w:docPartGallery w:val="Page Numbers (Top of Page)"/>
            <w:docPartUnique/>
          </w:docPartObj>
        </w:sdtPr>
        <w:sdtEndPr/>
        <w:sdtContent>
          <w:p w14:paraId="5F31E2F6" w14:textId="7E343598" w:rsidR="00641B15" w:rsidRDefault="00641B15" w:rsidP="00641B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EB7F1E" w14:textId="77777777" w:rsidR="00641B15" w:rsidRDefault="0064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ED53" w14:textId="77777777" w:rsidR="0035367D" w:rsidRDefault="0035367D" w:rsidP="00641B15">
      <w:r>
        <w:separator/>
      </w:r>
    </w:p>
  </w:footnote>
  <w:footnote w:type="continuationSeparator" w:id="0">
    <w:p w14:paraId="5A6F9298" w14:textId="77777777" w:rsidR="0035367D" w:rsidRDefault="0035367D" w:rsidP="0064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53A"/>
    <w:multiLevelType w:val="hybridMultilevel"/>
    <w:tmpl w:val="08424A82"/>
    <w:lvl w:ilvl="0" w:tplc="D7CAD93C">
      <w:start w:val="1"/>
      <w:numFmt w:val="bullet"/>
      <w:lvlText w:val="•"/>
      <w:lvlJc w:val="left"/>
      <w:pPr>
        <w:ind w:left="540" w:hanging="260"/>
      </w:pPr>
    </w:lvl>
    <w:lvl w:ilvl="1" w:tplc="6FA44E62">
      <w:numFmt w:val="decimal"/>
      <w:lvlText w:val=""/>
      <w:lvlJc w:val="left"/>
    </w:lvl>
    <w:lvl w:ilvl="2" w:tplc="6FEADF9E">
      <w:numFmt w:val="decimal"/>
      <w:lvlText w:val=""/>
      <w:lvlJc w:val="left"/>
    </w:lvl>
    <w:lvl w:ilvl="3" w:tplc="3AB21E14">
      <w:numFmt w:val="decimal"/>
      <w:lvlText w:val=""/>
      <w:lvlJc w:val="left"/>
    </w:lvl>
    <w:lvl w:ilvl="4" w:tplc="2F204326">
      <w:numFmt w:val="decimal"/>
      <w:lvlText w:val=""/>
      <w:lvlJc w:val="left"/>
    </w:lvl>
    <w:lvl w:ilvl="5" w:tplc="70E0BA90">
      <w:numFmt w:val="decimal"/>
      <w:lvlText w:val=""/>
      <w:lvlJc w:val="left"/>
    </w:lvl>
    <w:lvl w:ilvl="6" w:tplc="D0746BCE">
      <w:numFmt w:val="decimal"/>
      <w:lvlText w:val=""/>
      <w:lvlJc w:val="left"/>
    </w:lvl>
    <w:lvl w:ilvl="7" w:tplc="1B063DD4">
      <w:numFmt w:val="decimal"/>
      <w:lvlText w:val=""/>
      <w:lvlJc w:val="left"/>
    </w:lvl>
    <w:lvl w:ilvl="8" w:tplc="6F044DA0">
      <w:numFmt w:val="decimal"/>
      <w:lvlText w:val=""/>
      <w:lvlJc w:val="left"/>
    </w:lvl>
  </w:abstractNum>
  <w:abstractNum w:abstractNumId="1" w15:restartNumberingAfterBreak="0">
    <w:nsid w:val="48A76FCA"/>
    <w:multiLevelType w:val="hybridMultilevel"/>
    <w:tmpl w:val="6A04831C"/>
    <w:lvl w:ilvl="0" w:tplc="2976D76E">
      <w:start w:val="1"/>
      <w:numFmt w:val="bullet"/>
      <w:lvlText w:val="●"/>
      <w:lvlJc w:val="left"/>
      <w:pPr>
        <w:ind w:left="720" w:hanging="360"/>
      </w:pPr>
    </w:lvl>
    <w:lvl w:ilvl="1" w:tplc="1E68BCDA">
      <w:start w:val="1"/>
      <w:numFmt w:val="bullet"/>
      <w:lvlText w:val="○"/>
      <w:lvlJc w:val="left"/>
      <w:pPr>
        <w:ind w:left="1440" w:hanging="360"/>
      </w:pPr>
    </w:lvl>
    <w:lvl w:ilvl="2" w:tplc="87A683D2">
      <w:start w:val="1"/>
      <w:numFmt w:val="bullet"/>
      <w:lvlText w:val="■"/>
      <w:lvlJc w:val="left"/>
      <w:pPr>
        <w:ind w:left="2160" w:hanging="360"/>
      </w:pPr>
    </w:lvl>
    <w:lvl w:ilvl="3" w:tplc="8984339E">
      <w:start w:val="1"/>
      <w:numFmt w:val="bullet"/>
      <w:lvlText w:val="●"/>
      <w:lvlJc w:val="left"/>
      <w:pPr>
        <w:ind w:left="2880" w:hanging="360"/>
      </w:pPr>
    </w:lvl>
    <w:lvl w:ilvl="4" w:tplc="A6106724">
      <w:start w:val="1"/>
      <w:numFmt w:val="bullet"/>
      <w:lvlText w:val="○"/>
      <w:lvlJc w:val="left"/>
      <w:pPr>
        <w:ind w:left="3600" w:hanging="360"/>
      </w:pPr>
    </w:lvl>
    <w:lvl w:ilvl="5" w:tplc="4DB6D702">
      <w:start w:val="1"/>
      <w:numFmt w:val="bullet"/>
      <w:lvlText w:val="■"/>
      <w:lvlJc w:val="left"/>
      <w:pPr>
        <w:ind w:left="4320" w:hanging="360"/>
      </w:pPr>
    </w:lvl>
    <w:lvl w:ilvl="6" w:tplc="F048A160">
      <w:start w:val="1"/>
      <w:numFmt w:val="bullet"/>
      <w:lvlText w:val="●"/>
      <w:lvlJc w:val="left"/>
      <w:pPr>
        <w:ind w:left="5040" w:hanging="360"/>
      </w:pPr>
    </w:lvl>
    <w:lvl w:ilvl="7" w:tplc="8C0E6650">
      <w:start w:val="1"/>
      <w:numFmt w:val="bullet"/>
      <w:lvlText w:val="●"/>
      <w:lvlJc w:val="left"/>
      <w:pPr>
        <w:ind w:left="5760" w:hanging="360"/>
      </w:pPr>
    </w:lvl>
    <w:lvl w:ilvl="8" w:tplc="6E646C8A">
      <w:start w:val="1"/>
      <w:numFmt w:val="bullet"/>
      <w:lvlText w:val="●"/>
      <w:lvlJc w:val="left"/>
      <w:pPr>
        <w:ind w:left="6480" w:hanging="360"/>
      </w:pPr>
    </w:lvl>
  </w:abstractNum>
  <w:abstractNum w:abstractNumId="2" w15:restartNumberingAfterBreak="0">
    <w:nsid w:val="56485AD3"/>
    <w:multiLevelType w:val="hybridMultilevel"/>
    <w:tmpl w:val="550055B8"/>
    <w:lvl w:ilvl="0" w:tplc="CEA65A78">
      <w:start w:val="1"/>
      <w:numFmt w:val="bullet"/>
      <w:lvlText w:val=""/>
      <w:lvlJc w:val="left"/>
      <w:pPr>
        <w:ind w:left="1080" w:hanging="360"/>
      </w:pPr>
      <w:rPr>
        <w:rFonts w:ascii="Symbol" w:hAnsi="Symbol"/>
      </w:rPr>
    </w:lvl>
    <w:lvl w:ilvl="1" w:tplc="0CD0C68C">
      <w:start w:val="1"/>
      <w:numFmt w:val="bullet"/>
      <w:lvlText w:val=""/>
      <w:lvlJc w:val="left"/>
      <w:pPr>
        <w:ind w:left="1080" w:hanging="360"/>
      </w:pPr>
      <w:rPr>
        <w:rFonts w:ascii="Symbol" w:hAnsi="Symbol"/>
      </w:rPr>
    </w:lvl>
    <w:lvl w:ilvl="2" w:tplc="886ABCBE">
      <w:start w:val="1"/>
      <w:numFmt w:val="bullet"/>
      <w:lvlText w:val=""/>
      <w:lvlJc w:val="left"/>
      <w:pPr>
        <w:ind w:left="1080" w:hanging="360"/>
      </w:pPr>
      <w:rPr>
        <w:rFonts w:ascii="Symbol" w:hAnsi="Symbol"/>
      </w:rPr>
    </w:lvl>
    <w:lvl w:ilvl="3" w:tplc="668C88A2">
      <w:start w:val="1"/>
      <w:numFmt w:val="bullet"/>
      <w:lvlText w:val=""/>
      <w:lvlJc w:val="left"/>
      <w:pPr>
        <w:ind w:left="1080" w:hanging="360"/>
      </w:pPr>
      <w:rPr>
        <w:rFonts w:ascii="Symbol" w:hAnsi="Symbol"/>
      </w:rPr>
    </w:lvl>
    <w:lvl w:ilvl="4" w:tplc="299C9CF4">
      <w:start w:val="1"/>
      <w:numFmt w:val="bullet"/>
      <w:lvlText w:val=""/>
      <w:lvlJc w:val="left"/>
      <w:pPr>
        <w:ind w:left="1080" w:hanging="360"/>
      </w:pPr>
      <w:rPr>
        <w:rFonts w:ascii="Symbol" w:hAnsi="Symbol"/>
      </w:rPr>
    </w:lvl>
    <w:lvl w:ilvl="5" w:tplc="BB343764">
      <w:start w:val="1"/>
      <w:numFmt w:val="bullet"/>
      <w:lvlText w:val=""/>
      <w:lvlJc w:val="left"/>
      <w:pPr>
        <w:ind w:left="1080" w:hanging="360"/>
      </w:pPr>
      <w:rPr>
        <w:rFonts w:ascii="Symbol" w:hAnsi="Symbol"/>
      </w:rPr>
    </w:lvl>
    <w:lvl w:ilvl="6" w:tplc="428AF2B2">
      <w:start w:val="1"/>
      <w:numFmt w:val="bullet"/>
      <w:lvlText w:val=""/>
      <w:lvlJc w:val="left"/>
      <w:pPr>
        <w:ind w:left="1080" w:hanging="360"/>
      </w:pPr>
      <w:rPr>
        <w:rFonts w:ascii="Symbol" w:hAnsi="Symbol"/>
      </w:rPr>
    </w:lvl>
    <w:lvl w:ilvl="7" w:tplc="24149760">
      <w:start w:val="1"/>
      <w:numFmt w:val="bullet"/>
      <w:lvlText w:val=""/>
      <w:lvlJc w:val="left"/>
      <w:pPr>
        <w:ind w:left="1080" w:hanging="360"/>
      </w:pPr>
      <w:rPr>
        <w:rFonts w:ascii="Symbol" w:hAnsi="Symbol"/>
      </w:rPr>
    </w:lvl>
    <w:lvl w:ilvl="8" w:tplc="E7C2A26E">
      <w:start w:val="1"/>
      <w:numFmt w:val="bullet"/>
      <w:lvlText w:val=""/>
      <w:lvlJc w:val="left"/>
      <w:pPr>
        <w:ind w:left="1080" w:hanging="360"/>
      </w:pPr>
      <w:rPr>
        <w:rFonts w:ascii="Symbol" w:hAnsi="Symbol"/>
      </w:rPr>
    </w:lvl>
  </w:abstractNum>
  <w:num w:numId="1" w16cid:durableId="829322544">
    <w:abstractNumId w:val="1"/>
    <w:lvlOverride w:ilvl="0">
      <w:startOverride w:val="1"/>
    </w:lvlOverride>
  </w:num>
  <w:num w:numId="2" w16cid:durableId="1814323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8C"/>
    <w:rsid w:val="000B318C"/>
    <w:rsid w:val="000D5E59"/>
    <w:rsid w:val="00254EEE"/>
    <w:rsid w:val="0035367D"/>
    <w:rsid w:val="00366F47"/>
    <w:rsid w:val="00374B1F"/>
    <w:rsid w:val="003E390B"/>
    <w:rsid w:val="00411BCE"/>
    <w:rsid w:val="004C2AE9"/>
    <w:rsid w:val="00502157"/>
    <w:rsid w:val="00534441"/>
    <w:rsid w:val="0056740D"/>
    <w:rsid w:val="005B6D65"/>
    <w:rsid w:val="005B7D30"/>
    <w:rsid w:val="00641B15"/>
    <w:rsid w:val="006E3456"/>
    <w:rsid w:val="007444CC"/>
    <w:rsid w:val="007545A8"/>
    <w:rsid w:val="00845546"/>
    <w:rsid w:val="009962FA"/>
    <w:rsid w:val="009A0729"/>
    <w:rsid w:val="00A22B1A"/>
    <w:rsid w:val="00BF6B8E"/>
    <w:rsid w:val="00CA0B28"/>
    <w:rsid w:val="00D8594F"/>
    <w:rsid w:val="00D8792B"/>
    <w:rsid w:val="00E27429"/>
    <w:rsid w:val="00F36C41"/>
    <w:rsid w:val="078BCA1B"/>
    <w:rsid w:val="0A0DF62A"/>
    <w:rsid w:val="0E65E000"/>
    <w:rsid w:val="10DF7DA5"/>
    <w:rsid w:val="137137FE"/>
    <w:rsid w:val="147B4ADE"/>
    <w:rsid w:val="1A40F426"/>
    <w:rsid w:val="1B77ECA3"/>
    <w:rsid w:val="1EC3A098"/>
    <w:rsid w:val="285026B7"/>
    <w:rsid w:val="2C0F4BF6"/>
    <w:rsid w:val="34A5BF55"/>
    <w:rsid w:val="4283D003"/>
    <w:rsid w:val="42CDE2D8"/>
    <w:rsid w:val="45B3DA22"/>
    <w:rsid w:val="537DF9AD"/>
    <w:rsid w:val="5ACC124A"/>
    <w:rsid w:val="652740F7"/>
    <w:rsid w:val="6990EE76"/>
    <w:rsid w:val="7AA98364"/>
    <w:rsid w:val="7D2A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F54A"/>
  <w15:docId w15:val="{7D6FCDD2-02DA-4EDB-B24E-68564C38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41B15"/>
    <w:pPr>
      <w:tabs>
        <w:tab w:val="center" w:pos="4680"/>
        <w:tab w:val="right" w:pos="9360"/>
      </w:tabs>
    </w:pPr>
  </w:style>
  <w:style w:type="character" w:customStyle="1" w:styleId="HeaderChar">
    <w:name w:val="Header Char"/>
    <w:basedOn w:val="DefaultParagraphFont"/>
    <w:link w:val="Header"/>
    <w:uiPriority w:val="99"/>
    <w:rsid w:val="00641B15"/>
  </w:style>
  <w:style w:type="paragraph" w:styleId="Footer">
    <w:name w:val="footer"/>
    <w:basedOn w:val="Normal"/>
    <w:link w:val="FooterChar"/>
    <w:uiPriority w:val="99"/>
    <w:unhideWhenUsed/>
    <w:rsid w:val="00641B15"/>
    <w:pPr>
      <w:tabs>
        <w:tab w:val="center" w:pos="4680"/>
        <w:tab w:val="right" w:pos="9360"/>
      </w:tabs>
    </w:pPr>
  </w:style>
  <w:style w:type="character" w:customStyle="1" w:styleId="FooterChar">
    <w:name w:val="Footer Char"/>
    <w:basedOn w:val="DefaultParagraphFont"/>
    <w:link w:val="Footer"/>
    <w:uiPriority w:val="99"/>
    <w:rsid w:val="00641B15"/>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44CC"/>
    <w:rPr>
      <w:b/>
      <w:bCs/>
    </w:rPr>
  </w:style>
  <w:style w:type="character" w:customStyle="1" w:styleId="CommentSubjectChar">
    <w:name w:val="Comment Subject Char"/>
    <w:basedOn w:val="CommentTextChar"/>
    <w:link w:val="CommentSubject"/>
    <w:uiPriority w:val="99"/>
    <w:semiHidden/>
    <w:rsid w:val="007444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f56d663-141b-4418-b66c-326033ab9ce1}" enabled="0" method="" siteId="{3f56d663-141b-4418-b66c-326033ab9ce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1479</Words>
  <Characters>8434</Characters>
  <Application>Microsoft Office Word</Application>
  <DocSecurity>0</DocSecurity>
  <Lines>70</Lines>
  <Paragraphs>19</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Crowell, Lee M. - DPU</cp:lastModifiedBy>
  <cp:revision>20</cp:revision>
  <dcterms:created xsi:type="dcterms:W3CDTF">2026-05-04T23:22:00Z</dcterms:created>
  <dcterms:modified xsi:type="dcterms:W3CDTF">2026-06-24T12:04:00Z</dcterms:modified>
</cp:coreProperties>
</file>